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ms-word.document.macroEnabled.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方正小标宋简体"/>
          <w:color w:val="auto"/>
          <w:spacing w:val="15"/>
          <w:sz w:val="28"/>
          <w:szCs w:val="28"/>
          <w:highlight w:val="none"/>
          <w:lang w:eastAsia="zh-CN"/>
        </w:rPr>
      </w:pPr>
      <w:r>
        <w:rPr>
          <w:rFonts w:hint="eastAsia" w:ascii="Times New Roman" w:hAnsi="Times New Roman" w:eastAsia="方正小标宋简体" w:cs="Times New Roman"/>
          <w:color w:val="auto"/>
          <w:kern w:val="0"/>
          <w:sz w:val="42"/>
          <w:szCs w:val="44"/>
          <w:highlight w:val="none"/>
          <w:lang w:eastAsia="zh-CN"/>
        </w:rPr>
        <w:t>2025</w:t>
      </w:r>
      <w:r>
        <w:rPr>
          <w:rFonts w:ascii="Times New Roman" w:hAnsi="Times New Roman" w:eastAsia="方正小标宋简体" w:cs="Times New Roman"/>
          <w:color w:val="auto"/>
          <w:kern w:val="0"/>
          <w:sz w:val="42"/>
          <w:szCs w:val="44"/>
          <w:highlight w:val="none"/>
        </w:rPr>
        <w:t>年周口市国民经济和社会发展统计公报</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eastAsia" w:ascii="Times New Roman" w:hAnsi="Times New Roman" w:eastAsia="楷体" w:cs="楷体"/>
          <w:color w:val="auto"/>
          <w:spacing w:val="15"/>
          <w:sz w:val="28"/>
          <w:szCs w:val="28"/>
          <w:highlight w:val="none"/>
        </w:rPr>
      </w:pPr>
      <w:r>
        <w:rPr>
          <w:rFonts w:hint="eastAsia" w:ascii="Times New Roman" w:hAnsi="Times New Roman" w:eastAsia="楷体" w:cs="楷体"/>
          <w:color w:val="auto"/>
          <w:spacing w:val="15"/>
          <w:sz w:val="28"/>
          <w:szCs w:val="28"/>
          <w:highlight w:val="none"/>
        </w:rPr>
        <w:t>周口市统计局</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default" w:ascii="Times New Roman" w:hAnsi="Times New Roman" w:eastAsia="楷体"/>
          <w:color w:val="auto"/>
          <w:sz w:val="28"/>
          <w:szCs w:val="28"/>
          <w:highlight w:val="none"/>
          <w:lang w:val="en-US" w:eastAsia="zh-CN"/>
        </w:rPr>
      </w:pPr>
      <w:r>
        <w:rPr>
          <w:rFonts w:hint="eastAsia" w:ascii="Times New Roman" w:hAnsi="Times New Roman" w:eastAsia="楷体" w:cs="楷体"/>
          <w:color w:val="auto"/>
          <w:spacing w:val="15"/>
          <w:sz w:val="28"/>
          <w:szCs w:val="28"/>
          <w:highlight w:val="none"/>
          <w:lang w:val="en-US" w:eastAsia="zh-CN"/>
        </w:rPr>
        <w:t>2026年5月13日</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lang w:val="en-US" w:eastAsia="zh-CN"/>
        </w:rPr>
        <w:t>2025年，在市委、市政府的坚强领导下，全市上下深入学习党的二十届四中全会精神，全面贯彻习近平总书记考察河南重要讲话精神，聚焦“两高四着力”，落实市委“16232”总体工作思路，着力</w:t>
      </w:r>
      <w:bookmarkStart w:id="0" w:name="_GoBack"/>
      <w:bookmarkEnd w:id="0"/>
      <w:r>
        <w:rPr>
          <w:rFonts w:hint="eastAsia" w:ascii="Times New Roman" w:hAnsi="Times New Roman" w:eastAsia="宋体" w:cs="Times New Roman"/>
          <w:color w:val="auto"/>
          <w:highlight w:val="none"/>
          <w:lang w:val="en-US" w:eastAsia="zh-CN"/>
        </w:rPr>
        <w:t>稳就业、稳企业、稳市场、稳预期，全力推动各项政策措施落地见效，全市经济运行呈现稳中有进、进中提质、向新向优态势，生产供给总体平稳，有效需求持续释放，经济社会高质量发展迈出坚实步伐。</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宋体"/>
          <w:b/>
          <w:color w:val="auto"/>
          <w:sz w:val="28"/>
          <w:szCs w:val="28"/>
          <w:highlight w:val="none"/>
        </w:rPr>
      </w:pPr>
      <w:r>
        <w:rPr>
          <w:rFonts w:hint="eastAsia" w:ascii="Times New Roman" w:hAnsi="Times New Roman" w:cs="宋体"/>
          <w:b/>
          <w:color w:val="auto"/>
          <w:sz w:val="28"/>
          <w:szCs w:val="28"/>
          <w:highlight w:val="none"/>
        </w:rPr>
        <w:t>一、综</w:t>
      </w:r>
      <w:r>
        <w:rPr>
          <w:rFonts w:hint="eastAsia" w:ascii="Times New Roman" w:hAnsi="Times New Roman" w:cs="宋体"/>
          <w:b/>
          <w:color w:val="auto"/>
          <w:sz w:val="28"/>
          <w:szCs w:val="28"/>
          <w:highlight w:val="none"/>
          <w:lang w:val="en-US" w:eastAsia="zh-CN"/>
        </w:rPr>
        <w:t xml:space="preserve">  </w:t>
      </w:r>
      <w:r>
        <w:rPr>
          <w:rFonts w:hint="eastAsia" w:ascii="Times New Roman" w:hAnsi="Times New Roman" w:cs="宋体"/>
          <w:b/>
          <w:color w:val="auto"/>
          <w:sz w:val="28"/>
          <w:szCs w:val="28"/>
          <w:highlight w:val="none"/>
        </w:rPr>
        <w:t>合</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b w:val="0"/>
          <w:bCs w:val="0"/>
          <w:color w:val="auto"/>
          <w:sz w:val="21"/>
          <w:szCs w:val="21"/>
          <w:highlight w:val="none"/>
          <w:lang w:eastAsia="zh-CN"/>
        </w:rPr>
      </w:pPr>
      <w:r>
        <w:rPr>
          <w:rFonts w:hint="eastAsia" w:ascii="Times New Roman" w:hAnsi="Times New Roman"/>
          <w:color w:val="auto"/>
          <w:highlight w:val="none"/>
        </w:rPr>
        <w:t>初步核算，</w:t>
      </w:r>
      <w:r>
        <w:rPr>
          <w:rFonts w:hint="eastAsia" w:ascii="Times New Roman" w:hAnsi="Times New Roman"/>
          <w:color w:val="auto"/>
          <w:highlight w:val="none"/>
          <w:lang w:eastAsia="zh-CN"/>
        </w:rPr>
        <w:t>全年全市地区生产总值3810.83亿元，比上年增长6.1%。其中，第一产业增加值589.66亿元，增长3.7%；第二产业增加值1237.29亿元，增长5.2%；第三产业增加值1983.88亿元，增长7.5%。三次产业结构：15.5：32.5：52.0。全年人均地区生产总值</w:t>
      </w:r>
      <w:r>
        <w:rPr>
          <w:rFonts w:hint="eastAsia" w:ascii="Times New Roman" w:hAnsi="Times New Roman"/>
          <w:color w:val="auto"/>
          <w:highlight w:val="none"/>
          <w:lang w:val="en-US" w:eastAsia="zh-CN"/>
        </w:rPr>
        <w:t>44235</w:t>
      </w:r>
      <w:r>
        <w:rPr>
          <w:rFonts w:hint="eastAsia" w:ascii="Times New Roman" w:hAnsi="Times New Roman"/>
          <w:color w:val="auto"/>
          <w:highlight w:val="none"/>
          <w:lang w:eastAsia="zh-CN"/>
        </w:rPr>
        <w:t>元，增长</w:t>
      </w:r>
      <w:r>
        <w:rPr>
          <w:rFonts w:hint="eastAsia" w:ascii="Times New Roman" w:hAnsi="Times New Roman"/>
          <w:color w:val="auto"/>
          <w:highlight w:val="none"/>
          <w:lang w:val="en-US" w:eastAsia="zh-CN"/>
        </w:rPr>
        <w:t>6.5</w:t>
      </w:r>
      <w:r>
        <w:rPr>
          <w:rFonts w:hint="eastAsia" w:ascii="Times New Roman" w:hAnsi="Times New Roman"/>
          <w:color w:val="auto"/>
          <w:highlight w:val="none"/>
          <w:lang w:eastAsia="zh-CN"/>
        </w:rPr>
        <w:t>%。</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olor w:val="auto"/>
          <w:highlight w:val="none"/>
        </w:rPr>
      </w:pPr>
      <w:r>
        <w:rPr>
          <w:rFonts w:hint="eastAsia" w:ascii="Times New Roman" w:hAnsi="Times New Roman"/>
          <w:color w:val="auto"/>
          <w:highlight w:val="none"/>
        </w:rPr>
        <w:t>年末全市常住人口859.9万人。其中，城镇人口406.56万人，乡村人口453.34万人；常住人口城镇化率为47.28%，比上年末提高0.77个百分点。全年出生人口6.04万人，出生率为7.01‰；死亡人口8.23万人，死亡率为9.55‰；自然增长率为-2.54‰。</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rPr>
          <w:rFonts w:ascii="Times New Roman" w:hAnsi="Times New Roman"/>
          <w:color w:val="auto"/>
          <w:highlight w:val="none"/>
        </w:rPr>
      </w:pPr>
      <w:r>
        <w:rPr>
          <w:rStyle w:val="16"/>
          <w:rFonts w:ascii="Times New Roman" w:hAnsi="Times New Roman"/>
          <w:color w:val="auto"/>
          <w:highlight w:val="none"/>
        </w:rPr>
        <w:t>表</w:t>
      </w:r>
      <w:r>
        <w:rPr>
          <w:rStyle w:val="16"/>
          <w:rFonts w:hint="eastAsia" w:ascii="Times New Roman" w:hAnsi="Times New Roman"/>
          <w:color w:val="auto"/>
          <w:highlight w:val="none"/>
          <w:lang w:val="en-US" w:eastAsia="zh-CN"/>
        </w:rPr>
        <w:t>1</w:t>
      </w:r>
      <w:r>
        <w:rPr>
          <w:rStyle w:val="16"/>
          <w:rFonts w:hint="eastAsia" w:ascii="Times New Roman" w:hAnsi="Times New Roman"/>
          <w:color w:val="auto"/>
          <w:highlight w:val="none"/>
          <w:lang w:eastAsia="zh-CN"/>
        </w:rPr>
        <w:t xml:space="preserve">  </w:t>
      </w:r>
      <w:r>
        <w:rPr>
          <w:rStyle w:val="16"/>
          <w:rFonts w:hint="eastAsia" w:ascii="Times New Roman" w:hAnsi="Times New Roman"/>
          <w:color w:val="auto"/>
          <w:highlight w:val="none"/>
          <w:lang w:val="en-US" w:eastAsia="zh-CN"/>
        </w:rPr>
        <w:t>2</w:t>
      </w:r>
      <w:r>
        <w:rPr>
          <w:rStyle w:val="16"/>
          <w:rFonts w:hint="eastAsia" w:ascii="Times New Roman" w:hAnsi="Times New Roman"/>
          <w:color w:val="auto"/>
          <w:highlight w:val="none"/>
          <w:lang w:eastAsia="zh-CN"/>
        </w:rPr>
        <w:t>025</w:t>
      </w:r>
      <w:r>
        <w:rPr>
          <w:rStyle w:val="16"/>
          <w:rFonts w:ascii="Times New Roman" w:hAnsi="Times New Roman"/>
          <w:color w:val="auto"/>
          <w:highlight w:val="none"/>
        </w:rPr>
        <w:t>年</w:t>
      </w:r>
      <w:r>
        <w:rPr>
          <w:rStyle w:val="16"/>
          <w:rFonts w:hint="eastAsia" w:ascii="Times New Roman" w:hAnsi="Times New Roman"/>
          <w:color w:val="auto"/>
          <w:highlight w:val="none"/>
          <w:lang w:eastAsia="zh-CN"/>
        </w:rPr>
        <w:t>末周口市常住人口数及其构成</w:t>
      </w:r>
    </w:p>
    <w:tbl>
      <w:tblPr>
        <w:tblStyle w:val="13"/>
        <w:tblW w:w="7619" w:type="dxa"/>
        <w:jc w:val="center"/>
        <w:tblLayout w:type="fixed"/>
        <w:tblCellMar>
          <w:top w:w="0" w:type="dxa"/>
          <w:left w:w="108" w:type="dxa"/>
          <w:bottom w:w="0" w:type="dxa"/>
          <w:right w:w="108" w:type="dxa"/>
        </w:tblCellMar>
      </w:tblPr>
      <w:tblGrid>
        <w:gridCol w:w="3240"/>
        <w:gridCol w:w="2554"/>
        <w:gridCol w:w="1825"/>
      </w:tblGrid>
      <w:tr>
        <w:tblPrEx>
          <w:tblCellMar>
            <w:top w:w="0" w:type="dxa"/>
            <w:left w:w="108" w:type="dxa"/>
            <w:bottom w:w="0" w:type="dxa"/>
            <w:right w:w="108" w:type="dxa"/>
          </w:tblCellMar>
        </w:tblPrEx>
        <w:trPr>
          <w:trHeight w:val="398" w:hRule="exact"/>
          <w:jc w:val="center"/>
        </w:trPr>
        <w:tc>
          <w:tcPr>
            <w:tcW w:w="3240" w:type="dxa"/>
            <w:tcBorders>
              <w:top w:val="single" w:color="auto" w:sz="12" w:space="0"/>
              <w:left w:val="nil"/>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color w:val="auto"/>
                <w:sz w:val="24"/>
                <w:highlight w:val="none"/>
                <w:lang w:eastAsia="zh-CN"/>
              </w:rPr>
            </w:pPr>
            <w:r>
              <w:rPr>
                <w:rFonts w:hint="eastAsia" w:ascii="Times New Roman" w:hAnsi="Times New Roman" w:cs="Times New Roman"/>
                <w:b/>
                <w:color w:val="auto"/>
                <w:sz w:val="24"/>
                <w:highlight w:val="none"/>
                <w:lang w:eastAsia="zh-CN"/>
              </w:rPr>
              <w:t>指</w:t>
            </w:r>
            <w:r>
              <w:rPr>
                <w:rFonts w:hint="eastAsia" w:ascii="Times New Roman" w:hAnsi="Times New Roman" w:cs="Times New Roman"/>
                <w:b/>
                <w:color w:val="auto"/>
                <w:sz w:val="24"/>
                <w:highlight w:val="none"/>
                <w:lang w:val="en-US" w:eastAsia="zh-CN"/>
              </w:rPr>
              <w:t xml:space="preserve">  </w:t>
            </w:r>
            <w:r>
              <w:rPr>
                <w:rFonts w:hint="eastAsia" w:ascii="Times New Roman" w:hAnsi="Times New Roman" w:cs="Times New Roman"/>
                <w:b/>
                <w:color w:val="auto"/>
                <w:sz w:val="24"/>
                <w:highlight w:val="none"/>
                <w:lang w:eastAsia="zh-CN"/>
              </w:rPr>
              <w:t>标</w:t>
            </w:r>
          </w:p>
        </w:tc>
        <w:tc>
          <w:tcPr>
            <w:tcW w:w="2554" w:type="dxa"/>
            <w:tcBorders>
              <w:top w:val="single" w:color="auto" w:sz="12"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color w:val="auto"/>
                <w:sz w:val="24"/>
                <w:highlight w:val="none"/>
              </w:rPr>
            </w:pPr>
            <w:r>
              <w:rPr>
                <w:rFonts w:hint="eastAsia" w:ascii="Times New Roman" w:hAnsi="Times New Roman" w:cs="Times New Roman"/>
                <w:b/>
                <w:color w:val="auto"/>
                <w:sz w:val="24"/>
                <w:highlight w:val="none"/>
                <w:lang w:eastAsia="zh-CN"/>
              </w:rPr>
              <w:t>年末数</w:t>
            </w:r>
            <w:r>
              <w:rPr>
                <w:rFonts w:ascii="Times New Roman" w:hAnsi="Times New Roman" w:cs="Times New Roman"/>
                <w:b/>
                <w:color w:val="auto"/>
                <w:sz w:val="24"/>
                <w:highlight w:val="none"/>
              </w:rPr>
              <w:t>（万</w:t>
            </w:r>
            <w:r>
              <w:rPr>
                <w:rFonts w:hint="eastAsia" w:ascii="Times New Roman" w:hAnsi="Times New Roman" w:cs="Times New Roman"/>
                <w:b/>
                <w:color w:val="auto"/>
                <w:sz w:val="24"/>
                <w:highlight w:val="none"/>
                <w:lang w:eastAsia="zh-CN"/>
              </w:rPr>
              <w:t>人</w:t>
            </w:r>
            <w:r>
              <w:rPr>
                <w:rFonts w:ascii="Times New Roman" w:hAnsi="Times New Roman" w:cs="Times New Roman"/>
                <w:b/>
                <w:color w:val="auto"/>
                <w:sz w:val="24"/>
                <w:highlight w:val="none"/>
              </w:rPr>
              <w:t>）</w:t>
            </w:r>
          </w:p>
        </w:tc>
        <w:tc>
          <w:tcPr>
            <w:tcW w:w="1825" w:type="dxa"/>
            <w:tcBorders>
              <w:top w:val="single" w:color="auto" w:sz="12" w:space="0"/>
              <w:left w:val="single" w:color="auto" w:sz="4" w:space="0"/>
              <w:bottom w:val="single" w:color="auto" w:sz="4" w:space="0"/>
              <w:right w:val="nil"/>
            </w:tcBorders>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color w:val="auto"/>
                <w:sz w:val="24"/>
                <w:highlight w:val="none"/>
              </w:rPr>
            </w:pPr>
            <w:r>
              <w:rPr>
                <w:rFonts w:hint="eastAsia" w:ascii="Times New Roman" w:hAnsi="Times New Roman" w:cs="Times New Roman"/>
                <w:b/>
                <w:color w:val="auto"/>
                <w:sz w:val="24"/>
                <w:highlight w:val="none"/>
                <w:lang w:eastAsia="zh-CN"/>
              </w:rPr>
              <w:t>比重</w:t>
            </w:r>
            <w:r>
              <w:rPr>
                <w:rFonts w:ascii="Times New Roman" w:hAnsi="Times New Roman" w:cs="Times New Roman"/>
                <w:b/>
                <w:color w:val="auto"/>
                <w:sz w:val="24"/>
                <w:highlight w:val="none"/>
              </w:rPr>
              <w:t>（%）</w:t>
            </w:r>
          </w:p>
        </w:tc>
      </w:tr>
      <w:tr>
        <w:tblPrEx>
          <w:tblCellMar>
            <w:top w:w="0" w:type="dxa"/>
            <w:left w:w="108" w:type="dxa"/>
            <w:bottom w:w="0" w:type="dxa"/>
            <w:right w:w="108" w:type="dxa"/>
          </w:tblCellMar>
        </w:tblPrEx>
        <w:trPr>
          <w:trHeight w:val="310" w:hRule="atLeast"/>
          <w:jc w:val="center"/>
        </w:trPr>
        <w:tc>
          <w:tcPr>
            <w:tcW w:w="3240" w:type="dxa"/>
            <w:tcBorders>
              <w:top w:val="single" w:color="auto" w:sz="4" w:space="0"/>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全市常住人口</w:t>
            </w:r>
          </w:p>
        </w:tc>
        <w:tc>
          <w:tcPr>
            <w:tcW w:w="2554" w:type="dxa"/>
            <w:tcBorders>
              <w:top w:val="single" w:color="auto" w:sz="4" w:space="0"/>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859.9</w:t>
            </w:r>
          </w:p>
        </w:tc>
        <w:tc>
          <w:tcPr>
            <w:tcW w:w="1825" w:type="dxa"/>
            <w:tcBorders>
              <w:top w:val="single" w:color="auto" w:sz="4" w:space="0"/>
              <w:left w:val="single" w:color="auto" w:sz="4" w:space="0"/>
              <w:bottom w:val="nil"/>
              <w:right w:val="nil"/>
            </w:tcBorders>
            <w:vAlign w:val="center"/>
          </w:tcPr>
          <w:p>
            <w:pPr>
              <w:keepNext w:val="0"/>
              <w:keepLines w:val="0"/>
              <w:widowControl/>
              <w:suppressLineNumbers w:val="0"/>
              <w:jc w:val="center"/>
              <w:textAlignment w:val="center"/>
              <w:rPr>
                <w:rFonts w:hint="default" w:ascii="Times New Roman" w:hAnsi="Times New Roman" w:eastAsia="宋体" w:cs="宋体"/>
                <w:color w:val="auto"/>
                <w:sz w:val="20"/>
                <w:szCs w:val="20"/>
                <w:highlight w:val="none"/>
                <w:lang w:val="en-US" w:eastAsia="zh-CN"/>
              </w:rPr>
            </w:pPr>
            <w:r>
              <w:rPr>
                <w:rFonts w:hint="default" w:ascii="Times New Roman" w:hAnsi="Times New Roman" w:eastAsia="宋体" w:cs="Times New Roman"/>
                <w:i w:val="0"/>
                <w:iCs w:val="0"/>
                <w:color w:val="auto"/>
                <w:kern w:val="0"/>
                <w:sz w:val="20"/>
                <w:szCs w:val="20"/>
                <w:u w:val="none"/>
                <w:lang w:val="en-US" w:eastAsia="zh-CN" w:bidi="ar"/>
              </w:rPr>
              <w:t xml:space="preserve">100.0 </w:t>
            </w:r>
          </w:p>
        </w:tc>
      </w:tr>
      <w:tr>
        <w:tblPrEx>
          <w:tblCellMar>
            <w:top w:w="0" w:type="dxa"/>
            <w:left w:w="108" w:type="dxa"/>
            <w:bottom w:w="0" w:type="dxa"/>
            <w:right w:w="108" w:type="dxa"/>
          </w:tblCellMar>
        </w:tblPrEx>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200" w:firstLineChars="10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其中：城镇</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406.56</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47.28 </w:t>
            </w:r>
          </w:p>
        </w:tc>
      </w:tr>
      <w:tr>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800" w:firstLineChars="40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乡村</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453.34</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52.72 </w:t>
            </w:r>
          </w:p>
        </w:tc>
      </w:tr>
      <w:tr>
        <w:tblPrEx>
          <w:tblCellMar>
            <w:top w:w="0" w:type="dxa"/>
            <w:left w:w="108" w:type="dxa"/>
            <w:bottom w:w="0" w:type="dxa"/>
            <w:right w:w="108" w:type="dxa"/>
          </w:tblCellMar>
        </w:tblPrEx>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200" w:firstLineChars="100"/>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lang w:eastAsia="zh-CN"/>
              </w:rPr>
              <w:t>其中：男性</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424.1</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49.32 </w:t>
            </w:r>
          </w:p>
        </w:tc>
      </w:tr>
      <w:tr>
        <w:tblPrEx>
          <w:tblCellMar>
            <w:top w:w="0" w:type="dxa"/>
            <w:left w:w="108" w:type="dxa"/>
            <w:bottom w:w="0" w:type="dxa"/>
            <w:right w:w="108" w:type="dxa"/>
          </w:tblCellMar>
        </w:tblPrEx>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800" w:firstLineChars="400"/>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lang w:eastAsia="zh-CN"/>
              </w:rPr>
              <w:t>女性</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435.8</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50.68 </w:t>
            </w:r>
          </w:p>
        </w:tc>
      </w:tr>
      <w:tr>
        <w:tblPrEx>
          <w:tblCellMar>
            <w:top w:w="0" w:type="dxa"/>
            <w:left w:w="108" w:type="dxa"/>
            <w:bottom w:w="0" w:type="dxa"/>
            <w:right w:w="108" w:type="dxa"/>
          </w:tblCellMar>
        </w:tblPrEx>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200" w:firstLineChars="100"/>
              <w:jc w:val="both"/>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eastAsia="zh-CN"/>
              </w:rPr>
              <w:t>其中：</w:t>
            </w:r>
            <w:r>
              <w:rPr>
                <w:rFonts w:hint="eastAsia" w:ascii="Times New Roman" w:hAnsi="Times New Roman" w:cs="宋体"/>
                <w:color w:val="auto"/>
                <w:sz w:val="20"/>
                <w:szCs w:val="20"/>
                <w:highlight w:val="none"/>
                <w:lang w:val="en-US" w:eastAsia="zh-CN"/>
              </w:rPr>
              <w:t>0-15岁（含不满16周岁）</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196.5</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22.85 </w:t>
            </w:r>
          </w:p>
        </w:tc>
      </w:tr>
      <w:tr>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800" w:firstLineChars="400"/>
              <w:jc w:val="both"/>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16-59岁（含不满60周岁）</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463.0</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53.84 </w:t>
            </w:r>
          </w:p>
        </w:tc>
      </w:tr>
      <w:tr>
        <w:tblPrEx>
          <w:tblCellMar>
            <w:top w:w="0" w:type="dxa"/>
            <w:left w:w="108" w:type="dxa"/>
            <w:bottom w:w="0" w:type="dxa"/>
            <w:right w:w="108" w:type="dxa"/>
          </w:tblCellMar>
        </w:tblPrEx>
        <w:trPr>
          <w:trHeight w:val="301" w:hRule="atLeast"/>
          <w:jc w:val="center"/>
        </w:trPr>
        <w:tc>
          <w:tcPr>
            <w:tcW w:w="324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800" w:firstLineChars="400"/>
              <w:jc w:val="both"/>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60周岁及以上</w:t>
            </w:r>
          </w:p>
        </w:tc>
        <w:tc>
          <w:tcPr>
            <w:tcW w:w="2554"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200.4</w:t>
            </w:r>
          </w:p>
        </w:tc>
        <w:tc>
          <w:tcPr>
            <w:tcW w:w="1825"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23.31 </w:t>
            </w:r>
          </w:p>
        </w:tc>
      </w:tr>
      <w:tr>
        <w:tblPrEx>
          <w:tblCellMar>
            <w:top w:w="0" w:type="dxa"/>
            <w:left w:w="108" w:type="dxa"/>
            <w:bottom w:w="0" w:type="dxa"/>
            <w:right w:w="108" w:type="dxa"/>
          </w:tblCellMar>
        </w:tblPrEx>
        <w:trPr>
          <w:trHeight w:val="329" w:hRule="atLeast"/>
          <w:jc w:val="center"/>
        </w:trPr>
        <w:tc>
          <w:tcPr>
            <w:tcW w:w="3240" w:type="dxa"/>
            <w:tcBorders>
              <w:top w:val="nil"/>
              <w:left w:val="nil"/>
              <w:bottom w:val="single" w:color="000000" w:sz="12" w:space="0"/>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1200" w:firstLineChars="600"/>
              <w:jc w:val="both"/>
              <w:textAlignment w:val="auto"/>
              <w:rPr>
                <w:rFonts w:hint="default" w:ascii="Times New Roman" w:hAnsi="Times New Roman" w:eastAsia="宋体" w:cs="宋体"/>
                <w:color w:val="auto"/>
                <w:sz w:val="20"/>
                <w:szCs w:val="20"/>
                <w:highlight w:val="none"/>
                <w:lang w:val="en-US" w:eastAsia="zh-CN"/>
              </w:rPr>
            </w:pPr>
            <w:r>
              <w:rPr>
                <w:rFonts w:hint="eastAsia" w:ascii="Times New Roman" w:hAnsi="Times New Roman" w:cs="宋体"/>
                <w:color w:val="auto"/>
                <w:sz w:val="20"/>
                <w:szCs w:val="20"/>
                <w:highlight w:val="none"/>
                <w:lang w:eastAsia="zh-CN"/>
              </w:rPr>
              <w:t>其中：</w:t>
            </w:r>
            <w:r>
              <w:rPr>
                <w:rFonts w:hint="eastAsia" w:ascii="Times New Roman" w:hAnsi="Times New Roman" w:cs="宋体"/>
                <w:color w:val="auto"/>
                <w:sz w:val="20"/>
                <w:szCs w:val="20"/>
                <w:highlight w:val="none"/>
                <w:lang w:val="en-US" w:eastAsia="zh-CN"/>
              </w:rPr>
              <w:t>65周岁及以上</w:t>
            </w:r>
          </w:p>
        </w:tc>
        <w:tc>
          <w:tcPr>
            <w:tcW w:w="2554" w:type="dxa"/>
            <w:tcBorders>
              <w:top w:val="nil"/>
              <w:left w:val="single" w:color="auto" w:sz="4" w:space="0"/>
              <w:bottom w:val="single" w:color="000000" w:sz="12" w:space="0"/>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0" w:firstLineChars="0"/>
              <w:jc w:val="center"/>
              <w:textAlignment w:val="auto"/>
              <w:rPr>
                <w:rFonts w:ascii="Times New Roman" w:hAnsi="Times New Roman" w:cs="宋体"/>
                <w:color w:val="auto"/>
                <w:sz w:val="20"/>
                <w:szCs w:val="20"/>
                <w:highlight w:val="yellow"/>
              </w:rPr>
            </w:pPr>
            <w:r>
              <w:rPr>
                <w:rFonts w:hint="eastAsia" w:ascii="Times New Roman" w:hAnsi="Times New Roman" w:cs="宋体"/>
                <w:color w:val="auto"/>
                <w:sz w:val="20"/>
                <w:szCs w:val="20"/>
                <w:highlight w:val="none"/>
                <w:lang w:val="en-US" w:eastAsia="zh-CN"/>
              </w:rPr>
              <w:t>145.1</w:t>
            </w:r>
          </w:p>
        </w:tc>
        <w:tc>
          <w:tcPr>
            <w:tcW w:w="1825" w:type="dxa"/>
            <w:tcBorders>
              <w:top w:val="nil"/>
              <w:left w:val="single" w:color="auto" w:sz="4" w:space="0"/>
              <w:bottom w:val="single" w:color="000000" w:sz="12" w:space="0"/>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Times New Roman" w:hAnsi="Times New Roman" w:eastAsia="宋体" w:cs="Times New Roman"/>
                <w:i w:val="0"/>
                <w:iCs w:val="0"/>
                <w:color w:val="auto"/>
                <w:kern w:val="0"/>
                <w:sz w:val="20"/>
                <w:szCs w:val="20"/>
                <w:u w:val="none"/>
                <w:lang w:val="en-US" w:eastAsia="zh-CN" w:bidi="ar"/>
              </w:rPr>
              <w:t xml:space="preserve">16.87 </w:t>
            </w:r>
          </w:p>
        </w:tc>
      </w:tr>
    </w:tbl>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200"/>
        <w:textAlignment w:val="auto"/>
        <w:rPr>
          <w:rFonts w:hint="eastAsia" w:ascii="Times New Roman" w:hAnsi="Times New Roman" w:cs="宋体"/>
          <w:color w:val="0000FF"/>
          <w:kern w:val="1"/>
          <w:sz w:val="24"/>
          <w:szCs w:val="24"/>
          <w:highlight w:val="yellow"/>
        </w:rPr>
      </w:pPr>
      <w:r>
        <w:rPr>
          <w:rFonts w:hint="eastAsia" w:ascii="Times New Roman" w:hAnsi="Times New Roman" w:cs="宋体"/>
          <w:color w:val="auto"/>
          <w:kern w:val="1"/>
          <w:sz w:val="24"/>
          <w:szCs w:val="24"/>
          <w:highlight w:val="none"/>
          <w:lang w:val="en-US" w:eastAsia="zh-CN"/>
        </w:rPr>
        <w:t>全年全市新增城镇就业7.51万人，失业人员再就业2.33万人，就业困难人员实现就业9398人。新增农村劳动力转移就业4.83万人，新增返乡入乡创业2.23万人；新增技能人才18.8万人。农村劳动力转移就业总量321.8万人，其中省内转移128.09万人，省外输出193.73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480" w:firstLineChars="200"/>
        <w:textAlignment w:val="auto"/>
        <w:rPr>
          <w:rFonts w:hint="default" w:ascii="Times New Roman" w:hAnsi="Times New Roman" w:eastAsia="宋体"/>
          <w:color w:val="auto"/>
          <w:sz w:val="24"/>
          <w:szCs w:val="24"/>
          <w:highlight w:val="none"/>
          <w:lang w:val="en-US" w:eastAsia="zh-CN"/>
        </w:rPr>
      </w:pPr>
      <w:r>
        <w:rPr>
          <w:rFonts w:hint="eastAsia" w:ascii="Times New Roman" w:hAnsi="Times New Roman" w:cs="宋体"/>
          <w:color w:val="auto"/>
          <w:kern w:val="1"/>
          <w:sz w:val="24"/>
          <w:szCs w:val="24"/>
          <w:highlight w:val="none"/>
          <w:lang w:val="en-US" w:eastAsia="zh-CN"/>
        </w:rPr>
        <w:t>截至年末，全市实有经营主体100.16万户。其中，实有企业21.89万户，比上年增长8.6%；实有个体工商户75.70万户，实有农民专业合作社2.57万户。全年全市新设经营主体17.91万户。</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480" w:firstLineChars="200"/>
        <w:jc w:val="both"/>
        <w:textAlignment w:val="auto"/>
        <w:rPr>
          <w:rStyle w:val="16"/>
          <w:rFonts w:ascii="Times New Roman" w:hAnsi="Times New Roman"/>
          <w:color w:val="auto"/>
          <w:highlight w:val="none"/>
        </w:rPr>
      </w:pPr>
      <w:r>
        <w:rPr>
          <w:rFonts w:hint="eastAsia" w:ascii="Times New Roman" w:hAnsi="Times New Roman"/>
          <w:color w:val="auto"/>
          <w:highlight w:val="none"/>
        </w:rPr>
        <w:t>全年全市居民消费价格</w:t>
      </w:r>
      <w:r>
        <w:rPr>
          <w:rFonts w:hint="eastAsia" w:ascii="Times New Roman" w:hAnsi="Times New Roman"/>
          <w:color w:val="auto"/>
          <w:highlight w:val="none"/>
          <w:lang w:eastAsia="zh-CN"/>
        </w:rPr>
        <w:t>（</w:t>
      </w:r>
      <w:r>
        <w:rPr>
          <w:rFonts w:hint="eastAsia" w:ascii="Times New Roman" w:hAnsi="Times New Roman"/>
          <w:color w:val="auto"/>
          <w:highlight w:val="none"/>
          <w:lang w:val="en-US" w:eastAsia="zh-CN"/>
        </w:rPr>
        <w:t>CPI</w:t>
      </w:r>
      <w:r>
        <w:rPr>
          <w:rFonts w:hint="eastAsia" w:ascii="Times New Roman" w:hAnsi="Times New Roman"/>
          <w:color w:val="auto"/>
          <w:highlight w:val="none"/>
          <w:lang w:eastAsia="zh-CN"/>
        </w:rPr>
        <w:t>）比上年增长</w:t>
      </w:r>
      <w:r>
        <w:rPr>
          <w:rFonts w:hint="eastAsia" w:ascii="Times New Roman" w:hAnsi="Times New Roman"/>
          <w:color w:val="auto"/>
          <w:highlight w:val="none"/>
          <w:lang w:val="en-US" w:eastAsia="zh-CN"/>
        </w:rPr>
        <w:t>0.1%</w:t>
      </w:r>
      <w:r>
        <w:rPr>
          <w:rFonts w:hint="eastAsia" w:ascii="Times New Roman" w:hAnsi="Times New Roman"/>
          <w:color w:val="auto"/>
          <w:highlight w:val="none"/>
        </w:rPr>
        <w:t>。分类别看，食品烟酒类价格下降</w:t>
      </w:r>
      <w:r>
        <w:rPr>
          <w:rFonts w:hint="eastAsia" w:ascii="Times New Roman" w:hAnsi="Times New Roman"/>
          <w:color w:val="auto"/>
          <w:highlight w:val="none"/>
          <w:lang w:val="en-US" w:eastAsia="zh-CN"/>
        </w:rPr>
        <w:t>1.2</w:t>
      </w:r>
      <w:r>
        <w:rPr>
          <w:rFonts w:hint="eastAsia" w:ascii="Times New Roman" w:hAnsi="Times New Roman"/>
          <w:color w:val="auto"/>
          <w:highlight w:val="none"/>
        </w:rPr>
        <w:t>%，其中，粮食类</w:t>
      </w:r>
      <w:r>
        <w:rPr>
          <w:rFonts w:hint="eastAsia" w:ascii="Times New Roman" w:hAnsi="Times New Roman"/>
          <w:color w:val="auto"/>
          <w:highlight w:val="none"/>
          <w:lang w:eastAsia="zh-CN"/>
        </w:rPr>
        <w:t>下降</w:t>
      </w:r>
      <w:r>
        <w:rPr>
          <w:rFonts w:hint="eastAsia" w:ascii="Times New Roman" w:hAnsi="Times New Roman"/>
          <w:color w:val="auto"/>
          <w:highlight w:val="none"/>
          <w:lang w:val="en-US" w:eastAsia="zh-CN"/>
        </w:rPr>
        <w:t>2.0</w:t>
      </w:r>
      <w:r>
        <w:rPr>
          <w:rFonts w:hint="eastAsia" w:ascii="Times New Roman" w:hAnsi="Times New Roman"/>
          <w:color w:val="auto"/>
          <w:highlight w:val="none"/>
        </w:rPr>
        <w:t>%，鲜菜类</w:t>
      </w:r>
      <w:r>
        <w:rPr>
          <w:rFonts w:hint="eastAsia" w:ascii="Times New Roman" w:hAnsi="Times New Roman"/>
          <w:color w:val="auto"/>
          <w:highlight w:val="none"/>
          <w:lang w:eastAsia="zh-CN"/>
        </w:rPr>
        <w:t>下降</w:t>
      </w:r>
      <w:r>
        <w:rPr>
          <w:rFonts w:hint="eastAsia" w:ascii="Times New Roman" w:hAnsi="Times New Roman"/>
          <w:color w:val="auto"/>
          <w:highlight w:val="none"/>
          <w:lang w:val="en-US" w:eastAsia="zh-CN"/>
        </w:rPr>
        <w:t>4.7</w:t>
      </w:r>
      <w:r>
        <w:rPr>
          <w:rFonts w:hint="eastAsia" w:ascii="Times New Roman" w:hAnsi="Times New Roman"/>
          <w:color w:val="auto"/>
          <w:highlight w:val="none"/>
        </w:rPr>
        <w:t>%，畜肉类下降</w:t>
      </w:r>
      <w:r>
        <w:rPr>
          <w:rFonts w:hint="eastAsia" w:ascii="Times New Roman" w:hAnsi="Times New Roman"/>
          <w:color w:val="auto"/>
          <w:highlight w:val="none"/>
          <w:lang w:val="en-US" w:eastAsia="zh-CN"/>
        </w:rPr>
        <w:t>2.7</w:t>
      </w:r>
      <w:r>
        <w:rPr>
          <w:rFonts w:hint="eastAsia" w:ascii="Times New Roman" w:hAnsi="Times New Roman"/>
          <w:color w:val="auto"/>
          <w:highlight w:val="none"/>
        </w:rPr>
        <w:t>%，水产品类</w:t>
      </w:r>
      <w:r>
        <w:rPr>
          <w:rFonts w:hint="eastAsia" w:ascii="Times New Roman" w:hAnsi="Times New Roman"/>
          <w:color w:val="auto"/>
          <w:highlight w:val="none"/>
          <w:lang w:eastAsia="zh-CN"/>
        </w:rPr>
        <w:t>下降</w:t>
      </w:r>
      <w:r>
        <w:rPr>
          <w:rFonts w:hint="eastAsia" w:ascii="Times New Roman" w:hAnsi="Times New Roman"/>
          <w:color w:val="auto"/>
          <w:highlight w:val="none"/>
          <w:lang w:val="en-US" w:eastAsia="zh-CN"/>
        </w:rPr>
        <w:t>0.1</w:t>
      </w:r>
      <w:r>
        <w:rPr>
          <w:rFonts w:hint="eastAsia" w:ascii="Times New Roman" w:hAnsi="Times New Roman"/>
          <w:color w:val="auto"/>
          <w:highlight w:val="none"/>
        </w:rPr>
        <w:t>%，蛋类下降</w:t>
      </w:r>
      <w:r>
        <w:rPr>
          <w:rFonts w:hint="eastAsia" w:ascii="Times New Roman" w:hAnsi="Times New Roman"/>
          <w:color w:val="auto"/>
          <w:highlight w:val="none"/>
          <w:lang w:val="en-US" w:eastAsia="zh-CN"/>
        </w:rPr>
        <w:t>8.2</w:t>
      </w:r>
      <w:r>
        <w:rPr>
          <w:rFonts w:hint="eastAsia" w:ascii="Times New Roman" w:hAnsi="Times New Roman"/>
          <w:color w:val="auto"/>
          <w:highlight w:val="none"/>
        </w:rPr>
        <w:t>%，鲜果类</w:t>
      </w:r>
      <w:r>
        <w:rPr>
          <w:rFonts w:hint="eastAsia" w:ascii="Times New Roman" w:hAnsi="Times New Roman"/>
          <w:color w:val="auto"/>
          <w:highlight w:val="none"/>
          <w:lang w:eastAsia="zh-CN"/>
        </w:rPr>
        <w:t>上涨</w:t>
      </w:r>
      <w:r>
        <w:rPr>
          <w:rFonts w:hint="eastAsia" w:ascii="Times New Roman" w:hAnsi="Times New Roman"/>
          <w:color w:val="auto"/>
          <w:highlight w:val="none"/>
          <w:lang w:val="en-US" w:eastAsia="zh-CN"/>
        </w:rPr>
        <w:t>2.4</w:t>
      </w:r>
      <w:r>
        <w:rPr>
          <w:rFonts w:hint="eastAsia" w:ascii="Times New Roman" w:hAnsi="Times New Roman"/>
          <w:color w:val="auto"/>
          <w:highlight w:val="none"/>
        </w:rPr>
        <w:t>%；衣着类价格</w:t>
      </w:r>
      <w:r>
        <w:rPr>
          <w:rFonts w:hint="eastAsia" w:ascii="Times New Roman" w:hAnsi="Times New Roman"/>
          <w:color w:val="auto"/>
          <w:highlight w:val="none"/>
          <w:lang w:eastAsia="zh-CN"/>
        </w:rPr>
        <w:t>上涨</w:t>
      </w:r>
      <w:r>
        <w:rPr>
          <w:rFonts w:hint="eastAsia" w:ascii="Times New Roman" w:hAnsi="Times New Roman"/>
          <w:color w:val="auto"/>
          <w:highlight w:val="none"/>
          <w:lang w:val="en-US" w:eastAsia="zh-CN"/>
        </w:rPr>
        <w:t>0.7%</w:t>
      </w:r>
      <w:r>
        <w:rPr>
          <w:rFonts w:hint="eastAsia" w:ascii="Times New Roman" w:hAnsi="Times New Roman"/>
          <w:color w:val="auto"/>
          <w:highlight w:val="none"/>
        </w:rPr>
        <w:t>；居住类价格下降</w:t>
      </w:r>
      <w:r>
        <w:rPr>
          <w:rFonts w:hint="eastAsia" w:ascii="Times New Roman" w:hAnsi="Times New Roman"/>
          <w:color w:val="auto"/>
          <w:highlight w:val="none"/>
          <w:lang w:val="en-US" w:eastAsia="zh-CN"/>
        </w:rPr>
        <w:t>0.2</w:t>
      </w:r>
      <w:r>
        <w:rPr>
          <w:rFonts w:hint="eastAsia" w:ascii="Times New Roman" w:hAnsi="Times New Roman"/>
          <w:color w:val="auto"/>
          <w:highlight w:val="none"/>
        </w:rPr>
        <w:t>%；生活用品及服务类价格</w:t>
      </w:r>
      <w:r>
        <w:rPr>
          <w:rFonts w:hint="eastAsia" w:ascii="Times New Roman" w:hAnsi="Times New Roman"/>
          <w:color w:val="auto"/>
          <w:highlight w:val="none"/>
          <w:lang w:eastAsia="zh-CN"/>
        </w:rPr>
        <w:t>上涨</w:t>
      </w:r>
      <w:r>
        <w:rPr>
          <w:rFonts w:hint="eastAsia" w:ascii="Times New Roman" w:hAnsi="Times New Roman"/>
          <w:color w:val="auto"/>
          <w:highlight w:val="none"/>
          <w:lang w:val="en-US" w:eastAsia="zh-CN"/>
        </w:rPr>
        <w:t>1.8</w:t>
      </w:r>
      <w:r>
        <w:rPr>
          <w:rFonts w:hint="eastAsia" w:ascii="Times New Roman" w:hAnsi="Times New Roman"/>
          <w:color w:val="auto"/>
          <w:highlight w:val="none"/>
        </w:rPr>
        <w:t>%；交通通信类价格下降</w:t>
      </w:r>
      <w:r>
        <w:rPr>
          <w:rFonts w:hint="eastAsia" w:ascii="Times New Roman" w:hAnsi="Times New Roman"/>
          <w:color w:val="auto"/>
          <w:highlight w:val="none"/>
          <w:lang w:val="en-US" w:eastAsia="zh-CN"/>
        </w:rPr>
        <w:t>2.0</w:t>
      </w:r>
      <w:r>
        <w:rPr>
          <w:rFonts w:hint="eastAsia" w:ascii="Times New Roman" w:hAnsi="Times New Roman"/>
          <w:color w:val="auto"/>
          <w:highlight w:val="none"/>
        </w:rPr>
        <w:t>%；教育文化娱乐类价格上涨</w:t>
      </w:r>
      <w:r>
        <w:rPr>
          <w:rFonts w:hint="eastAsia" w:ascii="Times New Roman" w:hAnsi="Times New Roman"/>
          <w:color w:val="auto"/>
          <w:highlight w:val="none"/>
          <w:lang w:val="en-US" w:eastAsia="zh-CN"/>
        </w:rPr>
        <w:t>1.7</w:t>
      </w:r>
      <w:r>
        <w:rPr>
          <w:rFonts w:hint="eastAsia" w:ascii="Times New Roman" w:hAnsi="Times New Roman"/>
          <w:color w:val="auto"/>
          <w:highlight w:val="none"/>
        </w:rPr>
        <w:t>%；医疗保健类价格上涨</w:t>
      </w:r>
      <w:r>
        <w:rPr>
          <w:rFonts w:hint="eastAsia" w:ascii="Times New Roman" w:hAnsi="Times New Roman"/>
          <w:color w:val="auto"/>
          <w:highlight w:val="none"/>
          <w:lang w:val="en-US" w:eastAsia="zh-CN"/>
        </w:rPr>
        <w:t>0.4</w:t>
      </w:r>
      <w:r>
        <w:rPr>
          <w:rFonts w:hint="eastAsia" w:ascii="Times New Roman" w:hAnsi="Times New Roman"/>
          <w:color w:val="auto"/>
          <w:highlight w:val="none"/>
        </w:rPr>
        <w:t>%；其他用品及服务类价格上涨</w:t>
      </w:r>
      <w:r>
        <w:rPr>
          <w:rFonts w:hint="eastAsia" w:ascii="Times New Roman" w:hAnsi="Times New Roman"/>
          <w:color w:val="auto"/>
          <w:highlight w:val="none"/>
          <w:lang w:val="en-US" w:eastAsia="zh-CN"/>
        </w:rPr>
        <w:t>11.4</w:t>
      </w:r>
      <w:r>
        <w:rPr>
          <w:rFonts w:hint="eastAsia" w:ascii="Times New Roman" w:hAnsi="Times New Roman"/>
          <w:color w:val="auto"/>
          <w:highlight w:val="none"/>
        </w:rPr>
        <w:t>%。</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Times New Roman" w:hAnsi="Times New Roman" w:eastAsia="宋体"/>
          <w:color w:val="auto"/>
          <w:highlight w:val="none"/>
          <w:lang w:eastAsia="zh-CN"/>
        </w:rPr>
      </w:pPr>
      <w:r>
        <w:rPr>
          <w:rStyle w:val="16"/>
          <w:rFonts w:ascii="Times New Roman" w:hAnsi="Times New Roman"/>
          <w:color w:val="auto"/>
          <w:highlight w:val="none"/>
        </w:rPr>
        <w:t>表</w:t>
      </w:r>
      <w:r>
        <w:rPr>
          <w:rStyle w:val="16"/>
          <w:rFonts w:hint="eastAsia" w:ascii="Times New Roman" w:hAnsi="Times New Roman"/>
          <w:color w:val="auto"/>
          <w:highlight w:val="none"/>
          <w:lang w:val="en-US" w:eastAsia="zh-CN"/>
        </w:rPr>
        <w:t xml:space="preserve">2 </w:t>
      </w:r>
      <w:r>
        <w:rPr>
          <w:rStyle w:val="16"/>
          <w:rFonts w:hint="eastAsia" w:ascii="Times New Roman" w:hAnsi="Times New Roman"/>
          <w:color w:val="auto"/>
          <w:highlight w:val="none"/>
          <w:lang w:eastAsia="zh-CN"/>
        </w:rPr>
        <w:t xml:space="preserve"> </w:t>
      </w:r>
      <w:r>
        <w:rPr>
          <w:rStyle w:val="16"/>
          <w:rFonts w:hint="eastAsia" w:ascii="Times New Roman" w:hAnsi="Times New Roman"/>
          <w:color w:val="auto"/>
          <w:highlight w:val="none"/>
          <w:lang w:val="en-US" w:eastAsia="zh-CN"/>
        </w:rPr>
        <w:t>2</w:t>
      </w:r>
      <w:r>
        <w:rPr>
          <w:rStyle w:val="16"/>
          <w:rFonts w:hint="eastAsia" w:ascii="Times New Roman" w:hAnsi="Times New Roman"/>
          <w:color w:val="auto"/>
          <w:highlight w:val="none"/>
          <w:lang w:eastAsia="zh-CN"/>
        </w:rPr>
        <w:t>025</w:t>
      </w:r>
      <w:r>
        <w:rPr>
          <w:rStyle w:val="16"/>
          <w:rFonts w:ascii="Times New Roman" w:hAnsi="Times New Roman"/>
          <w:color w:val="auto"/>
          <w:highlight w:val="none"/>
        </w:rPr>
        <w:t>年</w:t>
      </w:r>
      <w:r>
        <w:rPr>
          <w:rStyle w:val="16"/>
          <w:rFonts w:hint="eastAsia" w:ascii="Times New Roman" w:hAnsi="Times New Roman"/>
          <w:color w:val="auto"/>
          <w:highlight w:val="none"/>
          <w:lang w:eastAsia="zh-CN"/>
        </w:rPr>
        <w:t>周口市</w:t>
      </w:r>
      <w:r>
        <w:rPr>
          <w:rStyle w:val="16"/>
          <w:rFonts w:ascii="Times New Roman" w:hAnsi="Times New Roman"/>
          <w:color w:val="auto"/>
          <w:highlight w:val="none"/>
        </w:rPr>
        <w:t>居民消费价格</w:t>
      </w:r>
      <w:r>
        <w:rPr>
          <w:rStyle w:val="16"/>
          <w:rFonts w:hint="eastAsia" w:ascii="Times New Roman" w:hAnsi="Times New Roman"/>
          <w:color w:val="auto"/>
          <w:highlight w:val="none"/>
          <w:lang w:eastAsia="zh-CN"/>
        </w:rPr>
        <w:t>主要数据</w:t>
      </w:r>
    </w:p>
    <w:tbl>
      <w:tblPr>
        <w:tblStyle w:val="13"/>
        <w:tblW w:w="7976" w:type="dxa"/>
        <w:jc w:val="center"/>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Layout w:type="fixed"/>
        <w:tblCellMar>
          <w:top w:w="0" w:type="dxa"/>
          <w:left w:w="0" w:type="dxa"/>
          <w:bottom w:w="0" w:type="dxa"/>
          <w:right w:w="0" w:type="dxa"/>
        </w:tblCellMar>
      </w:tblPr>
      <w:tblGrid>
        <w:gridCol w:w="5340"/>
        <w:gridCol w:w="2636"/>
      </w:tblGrid>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434" w:hRule="atLeast"/>
          <w:jc w:val="center"/>
        </w:trPr>
        <w:tc>
          <w:tcPr>
            <w:tcW w:w="5340" w:type="dxa"/>
            <w:tcBorders>
              <w:top w:val="single" w:color="auto" w:sz="12" w:space="0"/>
              <w:left w:val="nil"/>
              <w:bottom w:val="single" w:color="auto" w:sz="4" w:space="0"/>
              <w:right w:val="single" w:color="auto" w:sz="4" w:space="0"/>
            </w:tcBorders>
            <w:tcMar>
              <w:left w:w="105" w:type="dxa"/>
              <w:right w:w="105" w:type="dxa"/>
            </w:tcMar>
            <w:vAlign w:val="bottom"/>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cs="Times New Roman"/>
                <w:b/>
                <w:color w:val="auto"/>
                <w:sz w:val="24"/>
                <w:highlight w:val="none"/>
              </w:rPr>
            </w:pPr>
            <w:r>
              <w:rPr>
                <w:rFonts w:ascii="Times New Roman" w:hAnsi="Times New Roman" w:cs="Times New Roman"/>
                <w:b/>
                <w:color w:val="auto"/>
                <w:sz w:val="24"/>
                <w:highlight w:val="none"/>
              </w:rPr>
              <w:t>类</w:t>
            </w:r>
            <w:r>
              <w:rPr>
                <w:rFonts w:hint="eastAsia" w:ascii="Times New Roman" w:hAnsi="Times New Roman" w:cs="Times New Roman"/>
                <w:b/>
                <w:color w:val="auto"/>
                <w:sz w:val="24"/>
                <w:highlight w:val="none"/>
                <w:lang w:val="en-US" w:eastAsia="zh-CN"/>
              </w:rPr>
              <w:t xml:space="preserve">  </w:t>
            </w:r>
            <w:r>
              <w:rPr>
                <w:rFonts w:ascii="Times New Roman" w:hAnsi="Times New Roman" w:cs="Times New Roman"/>
                <w:b/>
                <w:color w:val="auto"/>
                <w:sz w:val="24"/>
                <w:highlight w:val="none"/>
              </w:rPr>
              <w:t>别</w:t>
            </w:r>
          </w:p>
        </w:tc>
        <w:tc>
          <w:tcPr>
            <w:tcW w:w="2636" w:type="dxa"/>
            <w:tcBorders>
              <w:top w:val="single" w:color="auto" w:sz="12" w:space="0"/>
              <w:left w:val="single" w:color="auto" w:sz="4" w:space="0"/>
              <w:bottom w:val="single" w:color="auto" w:sz="4" w:space="0"/>
              <w:right w:val="nil"/>
            </w:tcBorders>
            <w:tcMar>
              <w:left w:w="105" w:type="dxa"/>
              <w:right w:w="105" w:type="dxa"/>
            </w:tcMar>
            <w:vAlign w:val="bottom"/>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宋体" w:cs="Times New Roman"/>
                <w:b/>
                <w:color w:val="auto"/>
                <w:sz w:val="24"/>
                <w:highlight w:val="none"/>
                <w:lang w:eastAsia="zh-CN"/>
              </w:rPr>
            </w:pPr>
            <w:r>
              <w:rPr>
                <w:rFonts w:hint="eastAsia" w:ascii="Times New Roman" w:hAnsi="Times New Roman" w:cs="Times New Roman"/>
                <w:b/>
                <w:color w:val="auto"/>
                <w:sz w:val="24"/>
                <w:highlight w:val="none"/>
                <w:lang w:eastAsia="zh-CN"/>
              </w:rPr>
              <w:t>比上年涨跌幅（</w:t>
            </w:r>
            <w:r>
              <w:rPr>
                <w:rFonts w:hint="eastAsia" w:ascii="Times New Roman" w:hAnsi="Times New Roman" w:cs="Times New Roman"/>
                <w:b/>
                <w:color w:val="auto"/>
                <w:sz w:val="24"/>
                <w:highlight w:val="none"/>
                <w:lang w:val="en-US" w:eastAsia="zh-CN"/>
              </w:rPr>
              <w:t>%</w:t>
            </w:r>
            <w:r>
              <w:rPr>
                <w:rFonts w:hint="eastAsia" w:ascii="Times New Roman" w:hAnsi="Times New Roman" w:cs="Times New Roman"/>
                <w:b/>
                <w:color w:val="auto"/>
                <w:sz w:val="24"/>
                <w:highlight w:val="none"/>
                <w:lang w:eastAsia="zh-CN"/>
              </w:rPr>
              <w:t>）</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single" w:color="auto" w:sz="4" w:space="0"/>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居民消费价格指数</w:t>
            </w:r>
          </w:p>
        </w:tc>
        <w:tc>
          <w:tcPr>
            <w:tcW w:w="2636" w:type="dxa"/>
            <w:tcBorders>
              <w:top w:val="single" w:color="auto" w:sz="4" w:space="0"/>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eastAsia="宋体"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0.1</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一、食品烟酒</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-1.2</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260" w:leftChars="600"/>
              <w:jc w:val="left"/>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#粮    食</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default" w:ascii="Times New Roman" w:hAnsi="Times New Roman" w:cs="宋体"/>
                <w:color w:val="auto"/>
                <w:sz w:val="20"/>
                <w:szCs w:val="20"/>
                <w:highlight w:val="none"/>
                <w:lang w:val="en-US" w:eastAsia="zh-CN"/>
              </w:rPr>
              <w:t>-2.0</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365" w:leftChars="650"/>
              <w:jc w:val="left"/>
              <w:textAlignment w:val="auto"/>
              <w:rPr>
                <w:rFonts w:hint="eastAsia" w:ascii="Times New Roman" w:hAnsi="Times New Roman" w:eastAsia="宋体" w:cs="宋体"/>
                <w:color w:val="auto"/>
                <w:sz w:val="20"/>
                <w:szCs w:val="20"/>
                <w:highlight w:val="none"/>
              </w:rPr>
            </w:pPr>
            <w:r>
              <w:rPr>
                <w:rFonts w:hint="eastAsia" w:ascii="Times New Roman" w:hAnsi="Times New Roman" w:eastAsia="宋体" w:cs="宋体"/>
                <w:color w:val="auto"/>
                <w:sz w:val="20"/>
                <w:szCs w:val="20"/>
                <w:highlight w:val="none"/>
              </w:rPr>
              <w:t>鲜    菜</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-4.7</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365" w:leftChars="650"/>
              <w:jc w:val="left"/>
              <w:textAlignment w:val="auto"/>
              <w:rPr>
                <w:rFonts w:hint="eastAsia" w:ascii="Times New Roman" w:hAnsi="Times New Roman" w:eastAsia="宋体" w:cs="宋体"/>
                <w:color w:val="auto"/>
                <w:sz w:val="20"/>
                <w:szCs w:val="20"/>
                <w:highlight w:val="none"/>
              </w:rPr>
            </w:pPr>
            <w:r>
              <w:rPr>
                <w:rFonts w:hint="eastAsia" w:ascii="Times New Roman" w:hAnsi="Times New Roman" w:eastAsia="宋体" w:cs="宋体"/>
                <w:color w:val="auto"/>
                <w:sz w:val="20"/>
                <w:szCs w:val="20"/>
                <w:highlight w:val="none"/>
              </w:rPr>
              <w:t>畜    肉</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-2.7</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365" w:leftChars="650"/>
              <w:jc w:val="left"/>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水 产 品</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-0.1</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365" w:leftChars="650"/>
              <w:jc w:val="left"/>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蛋</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-8.2</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left="1365" w:leftChars="650"/>
              <w:jc w:val="left"/>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鲜    果</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2.4</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二、衣着</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0.7</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三、居住</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-0.2</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四、生活用品及服务</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1.8</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五、交通通信</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-2.0</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六、教育文化娱乐</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1.7</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5340" w:type="dxa"/>
            <w:tcBorders>
              <w:top w:val="nil"/>
              <w:left w:val="nil"/>
              <w:bottom w:val="nil"/>
              <w:right w:val="single" w:color="auto" w:sz="4" w:space="0"/>
            </w:tcBorders>
            <w:tcMar>
              <w:left w:w="105" w:type="dxa"/>
              <w:right w:w="105" w:type="dxa"/>
            </w:tcMar>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七、医疗保健</w:t>
            </w:r>
          </w:p>
        </w:tc>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0.4</w:t>
            </w:r>
          </w:p>
        </w:tc>
      </w:tr>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PrEx>
        <w:trPr>
          <w:trHeight w:val="312" w:hRule="atLeast"/>
          <w:jc w:val="center"/>
        </w:trPr>
        <w:tc>
          <w:tcPr>
            <w:tcW w:w="5340" w:type="dxa"/>
            <w:tcBorders>
              <w:top w:val="nil"/>
              <w:left w:val="nil"/>
              <w:bottom w:val="single" w:color="auto" w:sz="12" w:space="0"/>
              <w:right w:val="single" w:color="auto" w:sz="4" w:space="0"/>
            </w:tcBorders>
            <w:vAlign w:val="bottom"/>
          </w:tcPr>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八、其他用品</w:t>
            </w:r>
            <w:r>
              <w:rPr>
                <w:rFonts w:hint="eastAsia" w:ascii="Times New Roman" w:hAnsi="Times New Roman" w:cs="宋体"/>
                <w:color w:val="auto"/>
                <w:sz w:val="20"/>
                <w:szCs w:val="20"/>
                <w:highlight w:val="none"/>
                <w:lang w:eastAsia="zh-CN"/>
              </w:rPr>
              <w:t>及</w:t>
            </w:r>
            <w:r>
              <w:rPr>
                <w:rFonts w:hint="eastAsia" w:ascii="Times New Roman" w:hAnsi="Times New Roman" w:cs="宋体"/>
                <w:color w:val="auto"/>
                <w:sz w:val="20"/>
                <w:szCs w:val="20"/>
                <w:highlight w:val="none"/>
              </w:rPr>
              <w:t>服务</w:t>
            </w:r>
          </w:p>
        </w:tc>
        <w:tc>
          <w:tcPr>
            <w:tcW w:w="2636" w:type="dxa"/>
            <w:tcBorders>
              <w:top w:val="nil"/>
              <w:left w:val="single" w:color="auto" w:sz="4" w:space="0"/>
              <w:bottom w:val="single" w:color="auto" w:sz="12" w:space="0"/>
              <w:right w:val="nil"/>
            </w:tcBorders>
            <w:vAlign w:val="center"/>
          </w:tcPr>
          <w:tbl>
            <w:tblPr>
              <w:tblStyle w:val="13"/>
              <w:tblW w:w="7976" w:type="dxa"/>
              <w:jc w:val="center"/>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Layout w:type="fixed"/>
              <w:tblCellMar>
                <w:top w:w="0" w:type="dxa"/>
                <w:left w:w="0" w:type="dxa"/>
                <w:bottom w:w="0" w:type="dxa"/>
                <w:right w:w="0" w:type="dxa"/>
              </w:tblCellMar>
            </w:tblPr>
            <w:tblGrid>
              <w:gridCol w:w="2636"/>
            </w:tblGrid>
            <w:tr>
              <w:tblPrEx>
                <w:tblBorders>
                  <w:top w:val="single" w:color="999999" w:sz="2" w:space="0"/>
                  <w:left w:val="single" w:color="999999" w:sz="2" w:space="0"/>
                  <w:bottom w:val="single" w:color="999999" w:sz="2" w:space="0"/>
                  <w:right w:val="single" w:color="999999" w:sz="2"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2636" w:type="dxa"/>
                  <w:tcBorders>
                    <w:top w:val="nil"/>
                    <w:left w:val="single" w:color="auto" w:sz="4" w:space="0"/>
                    <w:bottom w:val="nil"/>
                    <w:right w:val="nil"/>
                  </w:tcBorders>
                  <w:tcMar>
                    <w:left w:w="105" w:type="dxa"/>
                    <w:right w:w="105" w:type="dxa"/>
                  </w:tcMar>
                  <w:vAlign w:val="center"/>
                </w:tcPr>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11.4</w:t>
                  </w:r>
                </w:p>
              </w:tc>
            </w:tr>
          </w:tbl>
          <w:p>
            <w:pPr>
              <w:keepNext w:val="0"/>
              <w:keepLines w:val="0"/>
              <w:pageBreakBefore w:val="0"/>
              <w:widowControl w:val="0"/>
              <w:kinsoku/>
              <w:wordWrap/>
              <w:overflowPunct/>
              <w:topLinePunct w:val="0"/>
              <w:autoSpaceDE/>
              <w:autoSpaceDN/>
              <w:bidi w:val="0"/>
              <w:adjustRightInd/>
              <w:snapToGrid/>
              <w:spacing w:line="240" w:lineRule="exact"/>
              <w:ind w:right="840" w:rightChars="400"/>
              <w:jc w:val="right"/>
              <w:textAlignment w:val="auto"/>
              <w:rPr>
                <w:rFonts w:hint="default" w:ascii="Times New Roman" w:hAnsi="Times New Roman" w:cs="宋体"/>
                <w:color w:val="auto"/>
                <w:sz w:val="20"/>
                <w:szCs w:val="20"/>
                <w:highlight w:val="none"/>
                <w:lang w:val="en-US" w:eastAsia="zh-CN"/>
              </w:rPr>
            </w:pPr>
          </w:p>
        </w:tc>
      </w:tr>
    </w:tbl>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eastAsia" w:ascii="Times New Roman" w:hAnsi="Times New Roman"/>
          <w:b/>
          <w:color w:val="auto"/>
          <w:sz w:val="28"/>
          <w:szCs w:val="28"/>
          <w:highlight w:val="none"/>
        </w:rPr>
      </w:pP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ascii="Times New Roman" w:hAnsi="Times New Roman"/>
          <w:color w:val="auto"/>
          <w:highlight w:val="none"/>
        </w:rPr>
      </w:pPr>
      <w:r>
        <w:rPr>
          <w:rFonts w:hint="eastAsia" w:ascii="Times New Roman" w:hAnsi="Times New Roman"/>
          <w:b/>
          <w:color w:val="auto"/>
          <w:sz w:val="28"/>
          <w:szCs w:val="28"/>
          <w:highlight w:val="none"/>
        </w:rPr>
        <w:t>二、</w:t>
      </w:r>
      <w:r>
        <w:rPr>
          <w:rFonts w:ascii="Times New Roman" w:hAnsi="Times New Roman"/>
          <w:b/>
          <w:color w:val="auto"/>
          <w:sz w:val="28"/>
          <w:szCs w:val="28"/>
          <w:highlight w:val="none"/>
        </w:rPr>
        <w:t>农</w:t>
      </w:r>
      <w:r>
        <w:rPr>
          <w:rFonts w:hint="eastAsia" w:ascii="Times New Roman" w:hAnsi="Times New Roman"/>
          <w:b/>
          <w:color w:val="auto"/>
          <w:sz w:val="28"/>
          <w:szCs w:val="28"/>
          <w:highlight w:val="none"/>
          <w:lang w:val="en-US" w:eastAsia="zh-CN"/>
        </w:rPr>
        <w:t xml:space="preserve">  </w:t>
      </w:r>
      <w:r>
        <w:rPr>
          <w:rFonts w:ascii="Times New Roman" w:hAnsi="Times New Roman"/>
          <w:b/>
          <w:color w:val="auto"/>
          <w:sz w:val="28"/>
          <w:szCs w:val="28"/>
          <w:highlight w:val="none"/>
        </w:rPr>
        <w:t>业</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olor w:val="auto"/>
          <w:highlight w:val="none"/>
        </w:rPr>
      </w:pPr>
      <w:r>
        <w:rPr>
          <w:rFonts w:hint="eastAsia" w:ascii="Times New Roman" w:hAnsi="Times New Roman"/>
          <w:color w:val="auto"/>
          <w:highlight w:val="none"/>
        </w:rPr>
        <w:t>全年全市农林牧渔业总产值实现</w:t>
      </w:r>
      <w:r>
        <w:rPr>
          <w:rFonts w:hint="default" w:ascii="Times New Roman" w:hAnsi="Times New Roman"/>
          <w:color w:val="auto"/>
          <w:highlight w:val="none"/>
          <w:lang w:val="en-US"/>
        </w:rPr>
        <w:t>1238.24</w:t>
      </w:r>
      <w:r>
        <w:rPr>
          <w:rFonts w:hint="eastAsia" w:ascii="Times New Roman" w:hAnsi="Times New Roman"/>
          <w:color w:val="auto"/>
          <w:highlight w:val="none"/>
        </w:rPr>
        <w:t>亿元，</w:t>
      </w:r>
      <w:r>
        <w:rPr>
          <w:rFonts w:hint="eastAsia" w:ascii="Times New Roman" w:hAnsi="Times New Roman"/>
          <w:color w:val="auto"/>
          <w:highlight w:val="none"/>
          <w:lang w:eastAsia="zh-CN"/>
        </w:rPr>
        <w:t>比上年</w:t>
      </w:r>
      <w:r>
        <w:rPr>
          <w:rFonts w:hint="eastAsia" w:ascii="Times New Roman" w:hAnsi="Times New Roman"/>
          <w:color w:val="auto"/>
          <w:highlight w:val="none"/>
        </w:rPr>
        <w:t>增长</w:t>
      </w:r>
      <w:r>
        <w:rPr>
          <w:rFonts w:hint="default" w:ascii="Times New Roman" w:hAnsi="Times New Roman"/>
          <w:color w:val="auto"/>
          <w:highlight w:val="none"/>
          <w:lang w:val="en-US"/>
        </w:rPr>
        <w:t>4.5</w:t>
      </w:r>
      <w:r>
        <w:rPr>
          <w:rFonts w:hint="eastAsia" w:ascii="Times New Roman" w:hAnsi="Times New Roman"/>
          <w:color w:val="auto"/>
          <w:highlight w:val="none"/>
        </w:rPr>
        <w:t>%。其中，农业总产值</w:t>
      </w:r>
      <w:r>
        <w:rPr>
          <w:rFonts w:hint="default" w:ascii="Times New Roman" w:hAnsi="Times New Roman"/>
          <w:color w:val="auto"/>
          <w:highlight w:val="none"/>
          <w:lang w:val="en-US"/>
        </w:rPr>
        <w:t>813.69</w:t>
      </w:r>
      <w:r>
        <w:rPr>
          <w:rFonts w:hint="eastAsia" w:ascii="Times New Roman" w:hAnsi="Times New Roman"/>
          <w:color w:val="auto"/>
          <w:highlight w:val="none"/>
        </w:rPr>
        <w:t>亿元，林业总产值</w:t>
      </w:r>
      <w:r>
        <w:rPr>
          <w:rFonts w:hint="default" w:ascii="Times New Roman" w:hAnsi="Times New Roman"/>
          <w:color w:val="auto"/>
          <w:highlight w:val="none"/>
          <w:lang w:val="en-US"/>
        </w:rPr>
        <w:t>6.33</w:t>
      </w:r>
      <w:r>
        <w:rPr>
          <w:rFonts w:hint="eastAsia" w:ascii="Times New Roman" w:hAnsi="Times New Roman"/>
          <w:color w:val="auto"/>
          <w:highlight w:val="none"/>
        </w:rPr>
        <w:t>亿元，牧业总产值</w:t>
      </w:r>
      <w:r>
        <w:rPr>
          <w:rFonts w:hint="default" w:ascii="Times New Roman" w:hAnsi="Times New Roman"/>
          <w:color w:val="auto"/>
          <w:highlight w:val="none"/>
          <w:lang w:val="en-US"/>
        </w:rPr>
        <w:t>278.27</w:t>
      </w:r>
      <w:r>
        <w:rPr>
          <w:rFonts w:hint="eastAsia" w:ascii="Times New Roman" w:hAnsi="Times New Roman"/>
          <w:color w:val="auto"/>
          <w:highlight w:val="none"/>
        </w:rPr>
        <w:t>亿元，渔业总产值</w:t>
      </w:r>
      <w:r>
        <w:rPr>
          <w:rFonts w:hint="default" w:ascii="Times New Roman" w:hAnsi="Times New Roman"/>
          <w:color w:val="auto"/>
          <w:highlight w:val="none"/>
          <w:lang w:val="en-US"/>
        </w:rPr>
        <w:t>7.73</w:t>
      </w:r>
      <w:r>
        <w:rPr>
          <w:rFonts w:hint="eastAsia" w:ascii="Times New Roman" w:hAnsi="Times New Roman"/>
          <w:color w:val="auto"/>
          <w:highlight w:val="none"/>
        </w:rPr>
        <w:t>亿元，农林牧渔服务业总产值</w:t>
      </w:r>
      <w:r>
        <w:rPr>
          <w:rFonts w:hint="default" w:ascii="Times New Roman" w:hAnsi="Times New Roman"/>
          <w:color w:val="auto"/>
          <w:highlight w:val="none"/>
          <w:lang w:val="en-US"/>
        </w:rPr>
        <w:t>132.22</w:t>
      </w:r>
      <w:r>
        <w:rPr>
          <w:rFonts w:hint="eastAsia" w:ascii="Times New Roman" w:hAnsi="Times New Roman"/>
          <w:color w:val="auto"/>
          <w:highlight w:val="none"/>
        </w:rPr>
        <w:t>亿元。</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b/>
          <w:bCs/>
          <w:color w:val="auto"/>
          <w:szCs w:val="22"/>
          <w:highlight w:val="none"/>
        </w:rPr>
      </w:pPr>
      <w:r>
        <w:rPr>
          <w:rFonts w:hint="eastAsia" w:ascii="Times New Roman" w:hAnsi="Times New Roman" w:eastAsia="宋体"/>
          <w:color w:val="auto"/>
          <w:highlight w:val="none"/>
        </w:rPr>
        <w:t>全年全市粮食播种面积</w:t>
      </w:r>
      <w:r>
        <w:rPr>
          <w:rFonts w:hint="eastAsia" w:ascii="Times New Roman" w:hAnsi="Times New Roman"/>
          <w:color w:val="auto"/>
          <w:highlight w:val="none"/>
          <w:lang w:val="en-US" w:eastAsia="zh-CN"/>
        </w:rPr>
        <w:t>2065.25</w:t>
      </w:r>
      <w:r>
        <w:rPr>
          <w:rFonts w:hint="eastAsia" w:ascii="Times New Roman" w:hAnsi="Times New Roman" w:eastAsia="宋体"/>
          <w:color w:val="auto"/>
          <w:highlight w:val="none"/>
        </w:rPr>
        <w:t>万亩</w:t>
      </w:r>
      <w:r>
        <w:rPr>
          <w:rFonts w:hint="eastAsia" w:ascii="Times New Roman" w:hAnsi="Times New Roman"/>
          <w:color w:val="auto"/>
          <w:highlight w:val="none"/>
          <w:lang w:eastAsia="zh-CN"/>
        </w:rPr>
        <w:t>，</w:t>
      </w:r>
      <w:r>
        <w:rPr>
          <w:rFonts w:hint="eastAsia" w:ascii="Times New Roman" w:hAnsi="Times New Roman" w:eastAsia="宋体"/>
          <w:color w:val="auto"/>
          <w:highlight w:val="none"/>
        </w:rPr>
        <w:t>总产量</w:t>
      </w:r>
      <w:r>
        <w:rPr>
          <w:rFonts w:hint="eastAsia" w:ascii="Times New Roman" w:hAnsi="Times New Roman" w:eastAsia="宋体"/>
          <w:color w:val="auto"/>
          <w:highlight w:val="none"/>
          <w:lang w:val="en-US" w:eastAsia="zh-CN"/>
        </w:rPr>
        <w:t>933.31</w:t>
      </w:r>
      <w:r>
        <w:rPr>
          <w:rFonts w:hint="eastAsia" w:ascii="Times New Roman" w:hAnsi="Times New Roman" w:eastAsia="宋体"/>
          <w:color w:val="auto"/>
          <w:highlight w:val="none"/>
        </w:rPr>
        <w:t>万吨</w:t>
      </w:r>
      <w:r>
        <w:rPr>
          <w:rFonts w:hint="eastAsia" w:ascii="Times New Roman" w:hAnsi="Times New Roman"/>
          <w:color w:val="auto"/>
          <w:highlight w:val="none"/>
          <w:lang w:eastAsia="zh-CN"/>
        </w:rPr>
        <w:t>，比上年增加</w:t>
      </w:r>
      <w:r>
        <w:rPr>
          <w:rFonts w:hint="eastAsia" w:ascii="Times New Roman" w:hAnsi="Times New Roman"/>
          <w:color w:val="auto"/>
          <w:highlight w:val="none"/>
          <w:lang w:val="en-US" w:eastAsia="zh-CN"/>
        </w:rPr>
        <w:t>14.82万吨</w:t>
      </w:r>
      <w:r>
        <w:rPr>
          <w:rFonts w:hint="eastAsia" w:ascii="Times New Roman" w:hAnsi="Times New Roman"/>
          <w:color w:val="auto"/>
          <w:highlight w:val="none"/>
          <w:lang w:eastAsia="zh-CN"/>
        </w:rPr>
        <w:t>，增产</w:t>
      </w:r>
      <w:r>
        <w:rPr>
          <w:rFonts w:hint="eastAsia" w:ascii="Times New Roman" w:hAnsi="Times New Roman"/>
          <w:color w:val="auto"/>
          <w:highlight w:val="none"/>
          <w:lang w:val="en-US" w:eastAsia="zh-CN"/>
        </w:rPr>
        <w:t>1.6</w:t>
      </w:r>
      <w:r>
        <w:rPr>
          <w:rFonts w:hint="eastAsia" w:ascii="Times New Roman" w:hAnsi="Times New Roman" w:eastAsia="宋体"/>
          <w:color w:val="auto"/>
          <w:highlight w:val="none"/>
        </w:rPr>
        <w:t>%。其中，夏粮播种面积1101.72万亩，总产量</w:t>
      </w:r>
      <w:r>
        <w:rPr>
          <w:rFonts w:hint="eastAsia" w:ascii="Times New Roman" w:hAnsi="Times New Roman"/>
          <w:color w:val="auto"/>
          <w:highlight w:val="none"/>
          <w:lang w:val="en-US" w:eastAsia="zh-CN"/>
        </w:rPr>
        <w:t>551.50</w:t>
      </w:r>
      <w:r>
        <w:rPr>
          <w:rFonts w:hint="eastAsia" w:ascii="Times New Roman" w:hAnsi="Times New Roman" w:eastAsia="宋体"/>
          <w:color w:val="auto"/>
          <w:highlight w:val="none"/>
        </w:rPr>
        <w:t>万吨，</w:t>
      </w:r>
      <w:r>
        <w:rPr>
          <w:rFonts w:hint="eastAsia" w:ascii="Times New Roman" w:hAnsi="Times New Roman"/>
          <w:color w:val="auto"/>
          <w:highlight w:val="none"/>
          <w:lang w:eastAsia="zh-CN"/>
        </w:rPr>
        <w:t>增产</w:t>
      </w:r>
      <w:r>
        <w:rPr>
          <w:rFonts w:hint="eastAsia" w:ascii="Times New Roman" w:hAnsi="Times New Roman"/>
          <w:color w:val="auto"/>
          <w:highlight w:val="none"/>
          <w:lang w:val="en-US" w:eastAsia="zh-CN"/>
        </w:rPr>
        <w:t>0.01%</w:t>
      </w:r>
      <w:r>
        <w:rPr>
          <w:rFonts w:hint="eastAsia" w:ascii="Times New Roman" w:hAnsi="Times New Roman" w:eastAsia="宋体"/>
          <w:color w:val="auto"/>
          <w:highlight w:val="none"/>
        </w:rPr>
        <w:t>；秋粮播种面积963.53万亩，总产量</w:t>
      </w:r>
      <w:r>
        <w:rPr>
          <w:rFonts w:hint="eastAsia" w:ascii="Times New Roman" w:hAnsi="Times New Roman"/>
          <w:color w:val="auto"/>
          <w:highlight w:val="none"/>
          <w:lang w:val="en-US" w:eastAsia="zh-CN"/>
        </w:rPr>
        <w:t>381.80</w:t>
      </w:r>
      <w:r>
        <w:rPr>
          <w:rFonts w:hint="eastAsia" w:ascii="Times New Roman" w:hAnsi="Times New Roman" w:eastAsia="宋体"/>
          <w:color w:val="auto"/>
          <w:highlight w:val="none"/>
        </w:rPr>
        <w:t>万吨，</w:t>
      </w:r>
      <w:r>
        <w:rPr>
          <w:rFonts w:hint="eastAsia" w:ascii="Times New Roman" w:hAnsi="Times New Roman"/>
          <w:color w:val="auto"/>
          <w:highlight w:val="none"/>
          <w:lang w:eastAsia="zh-CN"/>
        </w:rPr>
        <w:t>增产</w:t>
      </w:r>
      <w:r>
        <w:rPr>
          <w:rFonts w:hint="eastAsia" w:ascii="Times New Roman" w:hAnsi="Times New Roman"/>
          <w:color w:val="auto"/>
          <w:highlight w:val="none"/>
          <w:lang w:val="en-US" w:eastAsia="zh-CN"/>
        </w:rPr>
        <w:t>4.0</w:t>
      </w:r>
      <w:r>
        <w:rPr>
          <w:rFonts w:hint="eastAsia" w:ascii="Times New Roman" w:hAnsi="Times New Roman" w:eastAsia="宋体"/>
          <w:color w:val="auto"/>
          <w:highlight w:val="none"/>
        </w:rPr>
        <w:t>%。</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hint="eastAsia" w:ascii="Times New Roman" w:hAnsi="Times New Roman"/>
          <w:b/>
          <w:bCs/>
          <w:color w:val="auto"/>
          <w:szCs w:val="22"/>
          <w:highlight w:val="none"/>
        </w:rPr>
      </w:pPr>
      <w:r>
        <w:rPr>
          <w:rFonts w:hint="eastAsia" w:ascii="Times New Roman" w:hAnsi="Times New Roman"/>
          <w:b/>
          <w:bCs/>
          <w:color w:val="auto"/>
          <w:szCs w:val="22"/>
          <w:highlight w:val="none"/>
        </w:rPr>
        <w:t>图</w:t>
      </w:r>
      <w:r>
        <w:rPr>
          <w:rFonts w:hint="eastAsia" w:ascii="Times New Roman" w:hAnsi="Times New Roman"/>
          <w:b/>
          <w:bCs/>
          <w:color w:val="auto"/>
          <w:szCs w:val="22"/>
          <w:highlight w:val="none"/>
          <w:lang w:val="en-US" w:eastAsia="zh-CN"/>
        </w:rPr>
        <w:t xml:space="preserve">1 </w:t>
      </w:r>
      <w:r>
        <w:rPr>
          <w:rFonts w:hint="eastAsia" w:ascii="Times New Roman" w:hAnsi="Times New Roman"/>
          <w:b/>
          <w:bCs/>
          <w:color w:val="auto"/>
          <w:szCs w:val="22"/>
          <w:highlight w:val="none"/>
          <w:lang w:eastAsia="zh-CN"/>
        </w:rPr>
        <w:t xml:space="preserve"> </w:t>
      </w:r>
      <w:r>
        <w:rPr>
          <w:rFonts w:hint="eastAsia" w:ascii="Times New Roman" w:hAnsi="Times New Roman"/>
          <w:b/>
          <w:bCs/>
          <w:color w:val="auto"/>
          <w:szCs w:val="22"/>
          <w:highlight w:val="none"/>
          <w:lang w:val="en-US" w:eastAsia="zh-CN"/>
        </w:rPr>
        <w:t>2021</w:t>
      </w:r>
      <w:r>
        <w:rPr>
          <w:rFonts w:hint="eastAsia" w:ascii="Times New Roman" w:hAnsi="Times New Roman"/>
          <w:b/>
          <w:bCs/>
          <w:color w:val="auto"/>
          <w:szCs w:val="22"/>
          <w:highlight w:val="none"/>
        </w:rPr>
        <w:t>-</w:t>
      </w:r>
      <w:r>
        <w:rPr>
          <w:rFonts w:hint="eastAsia" w:ascii="Times New Roman" w:hAnsi="Times New Roman"/>
          <w:b/>
          <w:bCs/>
          <w:color w:val="auto"/>
          <w:szCs w:val="22"/>
          <w:highlight w:val="none"/>
          <w:lang w:eastAsia="zh-CN"/>
        </w:rPr>
        <w:t>2025</w:t>
      </w:r>
      <w:r>
        <w:rPr>
          <w:rFonts w:hint="eastAsia" w:ascii="Times New Roman" w:hAnsi="Times New Roman"/>
          <w:b/>
          <w:bCs/>
          <w:color w:val="auto"/>
          <w:szCs w:val="22"/>
          <w:highlight w:val="none"/>
        </w:rPr>
        <w:t>年周口市粮食总产量</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right"/>
        <w:textAlignment w:val="auto"/>
        <w:rPr>
          <w:rFonts w:hint="eastAsia" w:ascii="Times New Roman" w:hAnsi="Times New Roman" w:eastAsia="宋体"/>
          <w:color w:val="auto"/>
          <w:highlight w:val="none"/>
        </w:rPr>
      </w:pPr>
      <w:r>
        <w:rPr>
          <w:rFonts w:hint="eastAsia" w:ascii="Times New Roman" w:hAnsi="Times New Roman"/>
          <w:b w:val="0"/>
          <w:bCs w:val="0"/>
          <w:color w:val="auto"/>
          <w:sz w:val="21"/>
          <w:szCs w:val="21"/>
          <w:highlight w:val="none"/>
          <w:lang w:eastAsia="zh-CN"/>
        </w:rPr>
        <w:t>单位：万吨</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eastAsia="宋体"/>
          <w:color w:val="0000FF"/>
          <w:highlight w:val="none"/>
        </w:rPr>
      </w:pPr>
      <w:r>
        <w:drawing>
          <wp:anchor distT="0" distB="0" distL="114300" distR="114300" simplePos="0" relativeHeight="251660288" behindDoc="0" locked="0" layoutInCell="1" allowOverlap="1">
            <wp:simplePos x="0" y="0"/>
            <wp:positionH relativeFrom="column">
              <wp:posOffset>329565</wp:posOffset>
            </wp:positionH>
            <wp:positionV relativeFrom="paragraph">
              <wp:posOffset>45085</wp:posOffset>
            </wp:positionV>
            <wp:extent cx="4701540" cy="2821940"/>
            <wp:effectExtent l="0" t="0" r="0" b="0"/>
            <wp:wrapTopAndBottom/>
            <wp:docPr id="79495"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r>
        <w:rPr>
          <w:rFonts w:hint="eastAsia" w:ascii="Times New Roman" w:hAnsi="Times New Roman" w:eastAsia="宋体"/>
          <w:color w:val="auto"/>
          <w:highlight w:val="none"/>
        </w:rPr>
        <w:t>全年油料产量</w:t>
      </w:r>
      <w:r>
        <w:rPr>
          <w:rFonts w:hint="eastAsia" w:ascii="Times New Roman" w:hAnsi="Times New Roman"/>
          <w:color w:val="auto"/>
          <w:highlight w:val="none"/>
          <w:lang w:val="en-US" w:eastAsia="zh-CN"/>
        </w:rPr>
        <w:t>52.93</w:t>
      </w:r>
      <w:r>
        <w:rPr>
          <w:rFonts w:hint="eastAsia" w:ascii="Times New Roman" w:hAnsi="Times New Roman" w:eastAsia="宋体"/>
          <w:color w:val="auto"/>
          <w:highlight w:val="none"/>
        </w:rPr>
        <w:t>万吨，比上年增</w:t>
      </w:r>
      <w:r>
        <w:rPr>
          <w:rFonts w:hint="eastAsia" w:ascii="Times New Roman" w:hAnsi="Times New Roman" w:eastAsia="宋体"/>
          <w:color w:val="auto"/>
          <w:highlight w:val="none"/>
          <w:lang w:eastAsia="zh-CN"/>
        </w:rPr>
        <w:t>产</w:t>
      </w:r>
      <w:r>
        <w:rPr>
          <w:rFonts w:hint="eastAsia" w:ascii="Times New Roman" w:hAnsi="Times New Roman"/>
          <w:color w:val="auto"/>
          <w:highlight w:val="none"/>
          <w:lang w:val="en-US" w:eastAsia="zh-CN"/>
        </w:rPr>
        <w:t>2.9</w:t>
      </w:r>
      <w:r>
        <w:rPr>
          <w:rFonts w:hint="eastAsia" w:ascii="Times New Roman" w:hAnsi="Times New Roman" w:eastAsia="宋体"/>
          <w:color w:val="auto"/>
          <w:highlight w:val="none"/>
        </w:rPr>
        <w:t>%，其中花生产量</w:t>
      </w:r>
      <w:r>
        <w:rPr>
          <w:rFonts w:hint="eastAsia" w:ascii="Times New Roman" w:hAnsi="Times New Roman"/>
          <w:color w:val="auto"/>
          <w:highlight w:val="none"/>
          <w:lang w:val="en-US" w:eastAsia="zh-CN"/>
        </w:rPr>
        <w:t>47.48</w:t>
      </w:r>
      <w:r>
        <w:rPr>
          <w:rFonts w:hint="eastAsia" w:ascii="Times New Roman" w:hAnsi="Times New Roman" w:eastAsia="宋体"/>
          <w:color w:val="auto"/>
          <w:highlight w:val="none"/>
        </w:rPr>
        <w:t>万吨，增</w:t>
      </w:r>
      <w:r>
        <w:rPr>
          <w:rFonts w:hint="eastAsia" w:ascii="Times New Roman" w:hAnsi="Times New Roman"/>
          <w:color w:val="auto"/>
          <w:highlight w:val="none"/>
          <w:lang w:eastAsia="zh-CN"/>
        </w:rPr>
        <w:t>产</w:t>
      </w:r>
      <w:r>
        <w:rPr>
          <w:rFonts w:hint="eastAsia" w:ascii="Times New Roman" w:hAnsi="Times New Roman"/>
          <w:color w:val="auto"/>
          <w:highlight w:val="none"/>
          <w:lang w:val="en-US" w:eastAsia="zh-CN"/>
        </w:rPr>
        <w:t>3.5</w:t>
      </w:r>
      <w:r>
        <w:rPr>
          <w:rFonts w:hint="eastAsia" w:ascii="Times New Roman" w:hAnsi="Times New Roman" w:eastAsia="宋体"/>
          <w:color w:val="auto"/>
          <w:highlight w:val="none"/>
        </w:rPr>
        <w:t>%。蔬菜及食用菌产量</w:t>
      </w:r>
      <w:r>
        <w:rPr>
          <w:rFonts w:hint="default" w:ascii="Times New Roman" w:hAnsi="Times New Roman"/>
          <w:color w:val="auto"/>
          <w:highlight w:val="none"/>
          <w:lang w:val="en-US"/>
        </w:rPr>
        <w:t>1275.06</w:t>
      </w:r>
      <w:r>
        <w:rPr>
          <w:rFonts w:hint="eastAsia" w:ascii="Times New Roman" w:hAnsi="Times New Roman" w:eastAsia="宋体"/>
          <w:color w:val="auto"/>
          <w:highlight w:val="none"/>
        </w:rPr>
        <w:t>万吨，增</w:t>
      </w:r>
      <w:r>
        <w:rPr>
          <w:rFonts w:hint="eastAsia" w:ascii="Times New Roman" w:hAnsi="Times New Roman" w:eastAsia="宋体"/>
          <w:color w:val="auto"/>
          <w:highlight w:val="none"/>
          <w:lang w:eastAsia="zh-CN"/>
        </w:rPr>
        <w:t>产</w:t>
      </w:r>
      <w:r>
        <w:rPr>
          <w:rFonts w:hint="default" w:ascii="Times New Roman" w:hAnsi="Times New Roman"/>
          <w:color w:val="auto"/>
          <w:highlight w:val="none"/>
          <w:lang w:val="en-US" w:eastAsia="zh-CN"/>
        </w:rPr>
        <w:t>3.6</w:t>
      </w:r>
      <w:r>
        <w:rPr>
          <w:rFonts w:hint="eastAsia" w:ascii="Times New Roman" w:hAnsi="Times New Roman" w:eastAsia="宋体"/>
          <w:color w:val="auto"/>
          <w:highlight w:val="none"/>
        </w:rPr>
        <w:t>%。瓜果产量</w:t>
      </w:r>
      <w:r>
        <w:rPr>
          <w:rFonts w:hint="default" w:ascii="Times New Roman" w:hAnsi="Times New Roman"/>
          <w:color w:val="auto"/>
          <w:highlight w:val="none"/>
          <w:lang w:val="en-US"/>
        </w:rPr>
        <w:t>378.76</w:t>
      </w:r>
      <w:r>
        <w:rPr>
          <w:rFonts w:hint="eastAsia" w:ascii="Times New Roman" w:hAnsi="Times New Roman" w:eastAsia="宋体"/>
          <w:color w:val="auto"/>
          <w:highlight w:val="none"/>
        </w:rPr>
        <w:t>万吨，增</w:t>
      </w:r>
      <w:r>
        <w:rPr>
          <w:rFonts w:hint="eastAsia" w:ascii="Times New Roman" w:hAnsi="Times New Roman" w:eastAsia="宋体"/>
          <w:color w:val="auto"/>
          <w:highlight w:val="none"/>
          <w:lang w:eastAsia="zh-CN"/>
        </w:rPr>
        <w:t>产</w:t>
      </w:r>
      <w:r>
        <w:rPr>
          <w:rFonts w:hint="default" w:ascii="Times New Roman" w:hAnsi="Times New Roman"/>
          <w:color w:val="auto"/>
          <w:highlight w:val="none"/>
          <w:lang w:val="en-US" w:eastAsia="zh-CN"/>
        </w:rPr>
        <w:t>3.3</w:t>
      </w:r>
      <w:r>
        <w:rPr>
          <w:rFonts w:hint="eastAsia" w:ascii="Times New Roman" w:hAnsi="Times New Roman" w:eastAsia="宋体"/>
          <w:color w:val="auto"/>
          <w:highlight w:val="none"/>
        </w:rPr>
        <w:t>%。</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s="Times New Roman"/>
          <w:b/>
          <w:color w:val="0000FF"/>
          <w:kern w:val="1"/>
          <w:sz w:val="24"/>
          <w:highlight w:val="none"/>
          <w:lang w:val="en-US" w:eastAsia="zh-CN"/>
        </w:rPr>
      </w:pPr>
      <w:r>
        <w:rPr>
          <w:rFonts w:hint="eastAsia" w:ascii="Times New Roman" w:hAnsi="Times New Roman"/>
          <w:color w:val="auto"/>
          <w:highlight w:val="none"/>
        </w:rPr>
        <w:t>全年全市</w:t>
      </w:r>
      <w:r>
        <w:rPr>
          <w:rFonts w:hint="eastAsia" w:ascii="Times New Roman" w:hAnsi="Times New Roman"/>
          <w:color w:val="auto"/>
          <w:highlight w:val="none"/>
          <w:lang w:eastAsia="zh-CN"/>
        </w:rPr>
        <w:t>猪牛羊</w:t>
      </w:r>
      <w:r>
        <w:rPr>
          <w:rFonts w:hint="eastAsia" w:ascii="Times New Roman" w:hAnsi="Times New Roman"/>
          <w:color w:val="auto"/>
          <w:highlight w:val="none"/>
        </w:rPr>
        <w:t>禽肉产量97.55万吨，比上年增长8.9%。其中</w:t>
      </w:r>
      <w:r>
        <w:rPr>
          <w:rFonts w:hint="eastAsia" w:ascii="Times New Roman" w:hAnsi="Times New Roman"/>
          <w:color w:val="auto"/>
          <w:highlight w:val="none"/>
          <w:lang w:eastAsia="zh-CN"/>
        </w:rPr>
        <w:t>，</w:t>
      </w:r>
      <w:r>
        <w:rPr>
          <w:rFonts w:hint="eastAsia" w:ascii="Times New Roman" w:hAnsi="Times New Roman"/>
          <w:color w:val="auto"/>
          <w:highlight w:val="none"/>
        </w:rPr>
        <w:t>猪肉产量</w:t>
      </w:r>
      <w:r>
        <w:rPr>
          <w:rFonts w:hint="eastAsia" w:ascii="Times New Roman" w:hAnsi="Times New Roman"/>
          <w:color w:val="auto"/>
          <w:highlight w:val="none"/>
          <w:lang w:val="en-US" w:eastAsia="zh-CN"/>
        </w:rPr>
        <w:t>64.7</w:t>
      </w:r>
      <w:r>
        <w:rPr>
          <w:rFonts w:hint="default" w:ascii="Times New Roman" w:hAnsi="Times New Roman"/>
          <w:color w:val="auto"/>
          <w:highlight w:val="none"/>
          <w:lang w:val="en-US" w:eastAsia="zh-CN"/>
        </w:rPr>
        <w:t>6</w:t>
      </w:r>
      <w:r>
        <w:rPr>
          <w:rFonts w:hint="eastAsia" w:ascii="Times New Roman" w:hAnsi="Times New Roman"/>
          <w:color w:val="auto"/>
          <w:highlight w:val="none"/>
        </w:rPr>
        <w:t>万吨，增长</w:t>
      </w:r>
      <w:r>
        <w:rPr>
          <w:rFonts w:hint="eastAsia" w:ascii="Times New Roman" w:hAnsi="Times New Roman"/>
          <w:color w:val="auto"/>
          <w:highlight w:val="none"/>
          <w:lang w:val="en-US" w:eastAsia="zh-CN"/>
        </w:rPr>
        <w:t>10.3</w:t>
      </w:r>
      <w:r>
        <w:rPr>
          <w:rFonts w:hint="eastAsia" w:ascii="Times New Roman" w:hAnsi="Times New Roman"/>
          <w:color w:val="auto"/>
          <w:highlight w:val="none"/>
        </w:rPr>
        <w:t>%；牛肉产量</w:t>
      </w:r>
      <w:r>
        <w:rPr>
          <w:rFonts w:hint="eastAsia" w:ascii="Times New Roman" w:hAnsi="Times New Roman"/>
          <w:color w:val="auto"/>
          <w:highlight w:val="none"/>
          <w:lang w:val="en-US" w:eastAsia="zh-CN"/>
        </w:rPr>
        <w:t>3.16</w:t>
      </w:r>
      <w:r>
        <w:rPr>
          <w:rFonts w:hint="eastAsia" w:ascii="Times New Roman" w:hAnsi="Times New Roman"/>
          <w:color w:val="auto"/>
          <w:highlight w:val="none"/>
        </w:rPr>
        <w:t>万吨，增长</w:t>
      </w:r>
      <w:r>
        <w:rPr>
          <w:rFonts w:hint="eastAsia" w:ascii="Times New Roman" w:hAnsi="Times New Roman"/>
          <w:color w:val="auto"/>
          <w:highlight w:val="none"/>
          <w:lang w:val="en-US" w:eastAsia="zh-CN"/>
        </w:rPr>
        <w:t>4.4</w:t>
      </w:r>
      <w:r>
        <w:rPr>
          <w:rFonts w:hint="eastAsia" w:ascii="Times New Roman" w:hAnsi="Times New Roman"/>
          <w:color w:val="auto"/>
          <w:highlight w:val="none"/>
        </w:rPr>
        <w:t>%；羊肉产量</w:t>
      </w:r>
      <w:r>
        <w:rPr>
          <w:rFonts w:hint="eastAsia" w:ascii="Times New Roman" w:hAnsi="Times New Roman"/>
          <w:color w:val="auto"/>
          <w:highlight w:val="none"/>
          <w:lang w:val="en-US" w:eastAsia="zh-CN"/>
        </w:rPr>
        <w:t>3.85</w:t>
      </w:r>
      <w:r>
        <w:rPr>
          <w:rFonts w:hint="eastAsia" w:ascii="Times New Roman" w:hAnsi="Times New Roman"/>
          <w:color w:val="auto"/>
          <w:highlight w:val="none"/>
        </w:rPr>
        <w:t>万吨，</w:t>
      </w:r>
      <w:r>
        <w:rPr>
          <w:rFonts w:hint="eastAsia" w:ascii="Times New Roman" w:hAnsi="Times New Roman"/>
          <w:color w:val="auto"/>
          <w:highlight w:val="none"/>
          <w:lang w:eastAsia="zh-CN"/>
        </w:rPr>
        <w:t>下降</w:t>
      </w:r>
      <w:r>
        <w:rPr>
          <w:rFonts w:hint="eastAsia" w:ascii="Times New Roman" w:hAnsi="Times New Roman"/>
          <w:color w:val="auto"/>
          <w:highlight w:val="none"/>
          <w:lang w:val="en-US" w:eastAsia="zh-CN"/>
        </w:rPr>
        <w:t>14.8</w:t>
      </w:r>
      <w:r>
        <w:rPr>
          <w:rFonts w:hint="eastAsia" w:ascii="Times New Roman" w:hAnsi="Times New Roman"/>
          <w:color w:val="auto"/>
          <w:highlight w:val="none"/>
        </w:rPr>
        <w:t>%；禽肉产量</w:t>
      </w:r>
      <w:r>
        <w:rPr>
          <w:rFonts w:hint="eastAsia" w:ascii="Times New Roman" w:hAnsi="Times New Roman"/>
          <w:color w:val="auto"/>
          <w:highlight w:val="none"/>
          <w:lang w:val="en-US" w:eastAsia="zh-CN"/>
        </w:rPr>
        <w:t>25.77</w:t>
      </w:r>
      <w:r>
        <w:rPr>
          <w:rFonts w:hint="eastAsia" w:ascii="Times New Roman" w:hAnsi="Times New Roman"/>
          <w:color w:val="auto"/>
          <w:highlight w:val="none"/>
        </w:rPr>
        <w:t>万吨，增长</w:t>
      </w:r>
      <w:r>
        <w:rPr>
          <w:rFonts w:hint="eastAsia" w:ascii="Times New Roman" w:hAnsi="Times New Roman"/>
          <w:color w:val="auto"/>
          <w:highlight w:val="none"/>
          <w:lang w:val="en-US" w:eastAsia="zh-CN"/>
        </w:rPr>
        <w:t>10.7</w:t>
      </w:r>
      <w:r>
        <w:rPr>
          <w:rFonts w:hint="eastAsia" w:ascii="Times New Roman" w:hAnsi="Times New Roman"/>
          <w:color w:val="auto"/>
          <w:highlight w:val="none"/>
        </w:rPr>
        <w:t>%。禽蛋产量</w:t>
      </w:r>
      <w:r>
        <w:rPr>
          <w:rFonts w:hint="eastAsia" w:ascii="Times New Roman" w:hAnsi="Times New Roman"/>
          <w:color w:val="auto"/>
          <w:highlight w:val="none"/>
          <w:lang w:val="en-US" w:eastAsia="zh-CN"/>
        </w:rPr>
        <w:t>42.95</w:t>
      </w:r>
      <w:r>
        <w:rPr>
          <w:rFonts w:hint="eastAsia" w:ascii="Times New Roman" w:hAnsi="Times New Roman"/>
          <w:color w:val="auto"/>
          <w:highlight w:val="none"/>
        </w:rPr>
        <w:t>万吨，下降</w:t>
      </w:r>
      <w:r>
        <w:rPr>
          <w:rFonts w:hint="eastAsia" w:ascii="Times New Roman" w:hAnsi="Times New Roman"/>
          <w:color w:val="auto"/>
          <w:highlight w:val="none"/>
          <w:lang w:val="en-US" w:eastAsia="zh-CN"/>
        </w:rPr>
        <w:t>8.6</w:t>
      </w:r>
      <w:r>
        <w:rPr>
          <w:rFonts w:hint="eastAsia" w:ascii="Times New Roman" w:hAnsi="Times New Roman"/>
          <w:color w:val="auto"/>
          <w:highlight w:val="none"/>
        </w:rPr>
        <w:t>%</w:t>
      </w:r>
      <w:r>
        <w:rPr>
          <w:rFonts w:hint="eastAsia" w:ascii="Times New Roman" w:hAnsi="Times New Roman"/>
          <w:color w:val="auto"/>
          <w:highlight w:val="none"/>
          <w:lang w:eastAsia="zh-CN"/>
        </w:rPr>
        <w:t>。</w:t>
      </w:r>
      <w:r>
        <w:rPr>
          <w:rFonts w:hint="eastAsia" w:ascii="Times New Roman" w:hAnsi="Times New Roman"/>
          <w:color w:val="auto"/>
          <w:highlight w:val="none"/>
        </w:rPr>
        <w:t>牛奶产量</w:t>
      </w:r>
      <w:r>
        <w:rPr>
          <w:rFonts w:hint="eastAsia" w:ascii="Times New Roman" w:hAnsi="Times New Roman"/>
          <w:color w:val="auto"/>
          <w:highlight w:val="none"/>
          <w:lang w:val="en-US" w:eastAsia="zh-CN"/>
        </w:rPr>
        <w:t>3.25</w:t>
      </w:r>
      <w:r>
        <w:rPr>
          <w:rFonts w:hint="eastAsia" w:ascii="Times New Roman" w:hAnsi="Times New Roman"/>
          <w:color w:val="auto"/>
          <w:highlight w:val="none"/>
        </w:rPr>
        <w:t>万吨，下降</w:t>
      </w:r>
      <w:r>
        <w:rPr>
          <w:rFonts w:hint="eastAsia" w:ascii="Times New Roman" w:hAnsi="Times New Roman"/>
          <w:color w:val="auto"/>
          <w:highlight w:val="none"/>
          <w:lang w:val="en-US" w:eastAsia="zh-CN"/>
        </w:rPr>
        <w:t>7.3</w:t>
      </w:r>
      <w:r>
        <w:rPr>
          <w:rFonts w:hint="eastAsia" w:ascii="Times New Roman" w:hAnsi="Times New Roman"/>
          <w:color w:val="auto"/>
          <w:highlight w:val="none"/>
        </w:rPr>
        <w:t>%。</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ascii="Times New Roman" w:hAnsi="Times New Roman" w:cs="Times New Roman"/>
          <w:b/>
          <w:color w:val="auto"/>
          <w:kern w:val="1"/>
          <w:sz w:val="24"/>
          <w:highlight w:val="none"/>
        </w:rPr>
      </w:pPr>
      <w:r>
        <w:rPr>
          <w:rFonts w:hint="eastAsia" w:ascii="Times New Roman" w:hAnsi="Times New Roman" w:cs="Times New Roman"/>
          <w:b/>
          <w:color w:val="auto"/>
          <w:kern w:val="1"/>
          <w:sz w:val="24"/>
          <w:highlight w:val="none"/>
          <w:lang w:val="en-US" w:eastAsia="zh-CN"/>
        </w:rPr>
        <w:t xml:space="preserve">表3 </w:t>
      </w:r>
      <w:r>
        <w:rPr>
          <w:rFonts w:hint="eastAsia" w:ascii="Times New Roman" w:hAnsi="Times New Roman" w:cs="Times New Roman"/>
          <w:b/>
          <w:color w:val="auto"/>
          <w:kern w:val="1"/>
          <w:sz w:val="24"/>
          <w:highlight w:val="none"/>
          <w:lang w:eastAsia="zh-CN"/>
        </w:rPr>
        <w:t xml:space="preserve"> </w:t>
      </w:r>
      <w:r>
        <w:rPr>
          <w:rFonts w:hint="eastAsia" w:ascii="Times New Roman" w:hAnsi="Times New Roman" w:cs="Times New Roman"/>
          <w:b/>
          <w:color w:val="auto"/>
          <w:kern w:val="1"/>
          <w:sz w:val="24"/>
          <w:highlight w:val="none"/>
          <w:lang w:val="en-US" w:eastAsia="zh-CN"/>
        </w:rPr>
        <w:t>2</w:t>
      </w:r>
      <w:r>
        <w:rPr>
          <w:rFonts w:hint="eastAsia" w:ascii="Times New Roman" w:hAnsi="Times New Roman" w:cs="Times New Roman"/>
          <w:b/>
          <w:color w:val="auto"/>
          <w:kern w:val="1"/>
          <w:sz w:val="24"/>
          <w:highlight w:val="none"/>
          <w:lang w:eastAsia="zh-CN"/>
        </w:rPr>
        <w:t>025</w:t>
      </w:r>
      <w:r>
        <w:rPr>
          <w:rFonts w:ascii="Times New Roman" w:hAnsi="Times New Roman" w:cs="Times New Roman"/>
          <w:b/>
          <w:color w:val="auto"/>
          <w:kern w:val="1"/>
          <w:sz w:val="24"/>
          <w:highlight w:val="none"/>
        </w:rPr>
        <w:t>年</w:t>
      </w:r>
      <w:r>
        <w:rPr>
          <w:rFonts w:hint="eastAsia" w:ascii="Times New Roman" w:hAnsi="Times New Roman" w:cs="Times New Roman"/>
          <w:b/>
          <w:color w:val="auto"/>
          <w:kern w:val="1"/>
          <w:sz w:val="24"/>
          <w:highlight w:val="none"/>
          <w:lang w:eastAsia="zh-CN"/>
        </w:rPr>
        <w:t>周口市主要农产品产量及其增长速度</w:t>
      </w:r>
    </w:p>
    <w:tbl>
      <w:tblPr>
        <w:tblStyle w:val="13"/>
        <w:tblW w:w="7920" w:type="dxa"/>
        <w:jc w:val="center"/>
        <w:tblLayout w:type="fixed"/>
        <w:tblCellMar>
          <w:top w:w="0" w:type="dxa"/>
          <w:left w:w="108" w:type="dxa"/>
          <w:bottom w:w="0" w:type="dxa"/>
          <w:right w:w="108" w:type="dxa"/>
        </w:tblCellMar>
      </w:tblPr>
      <w:tblGrid>
        <w:gridCol w:w="2360"/>
        <w:gridCol w:w="2715"/>
        <w:gridCol w:w="2845"/>
      </w:tblGrid>
      <w:tr>
        <w:tblPrEx>
          <w:tblCellMar>
            <w:top w:w="0" w:type="dxa"/>
            <w:left w:w="108" w:type="dxa"/>
            <w:bottom w:w="0" w:type="dxa"/>
            <w:right w:w="108" w:type="dxa"/>
          </w:tblCellMar>
        </w:tblPrEx>
        <w:trPr>
          <w:trHeight w:val="543" w:hRule="exact"/>
          <w:jc w:val="center"/>
        </w:trPr>
        <w:tc>
          <w:tcPr>
            <w:tcW w:w="2360" w:type="dxa"/>
            <w:tcBorders>
              <w:top w:val="single" w:color="auto" w:sz="12" w:space="0"/>
              <w:left w:val="nil"/>
              <w:bottom w:val="single" w:color="auto" w:sz="4" w:space="0"/>
              <w:right w:val="single" w:color="auto" w:sz="4" w:space="0"/>
            </w:tcBorders>
          </w:tcPr>
          <w:p>
            <w:pPr>
              <w:keepNext w:val="0"/>
              <w:keepLines w:val="0"/>
              <w:pageBreakBefore w:val="0"/>
              <w:widowControl w:val="0"/>
              <w:kinsoku/>
              <w:overflowPunct/>
              <w:topLinePunct w:val="0"/>
              <w:autoSpaceDE/>
              <w:autoSpaceDN/>
              <w:bidi w:val="0"/>
              <w:adjustRightInd/>
              <w:snapToGrid/>
              <w:spacing w:line="480" w:lineRule="auto"/>
              <w:jc w:val="center"/>
              <w:rPr>
                <w:rFonts w:ascii="Times New Roman" w:hAnsi="Times New Roman" w:cs="Times New Roman"/>
                <w:b/>
                <w:color w:val="auto"/>
                <w:sz w:val="24"/>
                <w:highlight w:val="none"/>
              </w:rPr>
            </w:pPr>
            <w:r>
              <w:rPr>
                <w:rFonts w:ascii="Times New Roman" w:hAnsi="Times New Roman" w:cs="Times New Roman"/>
                <w:b/>
                <w:color w:val="auto"/>
                <w:sz w:val="24"/>
                <w:highlight w:val="none"/>
              </w:rPr>
              <w:t>产品名称</w:t>
            </w:r>
          </w:p>
        </w:tc>
        <w:tc>
          <w:tcPr>
            <w:tcW w:w="2715" w:type="dxa"/>
            <w:tcBorders>
              <w:top w:val="single" w:color="auto" w:sz="12" w:space="0"/>
              <w:left w:val="single" w:color="auto" w:sz="4" w:space="0"/>
              <w:bottom w:val="single" w:color="auto" w:sz="4" w:space="0"/>
              <w:right w:val="single" w:color="auto" w:sz="4" w:space="0"/>
            </w:tcBorders>
          </w:tcPr>
          <w:p>
            <w:pPr>
              <w:keepNext w:val="0"/>
              <w:keepLines w:val="0"/>
              <w:pageBreakBefore w:val="0"/>
              <w:widowControl w:val="0"/>
              <w:kinsoku/>
              <w:overflowPunct/>
              <w:topLinePunct w:val="0"/>
              <w:autoSpaceDE/>
              <w:autoSpaceDN/>
              <w:bidi w:val="0"/>
              <w:adjustRightInd/>
              <w:snapToGrid/>
              <w:spacing w:line="480" w:lineRule="auto"/>
              <w:jc w:val="center"/>
              <w:rPr>
                <w:rFonts w:ascii="Times New Roman" w:hAnsi="Times New Roman" w:cs="Times New Roman"/>
                <w:b/>
                <w:color w:val="auto"/>
                <w:sz w:val="24"/>
                <w:highlight w:val="none"/>
              </w:rPr>
            </w:pPr>
            <w:r>
              <w:rPr>
                <w:rFonts w:ascii="Times New Roman" w:hAnsi="Times New Roman" w:cs="Times New Roman"/>
                <w:b/>
                <w:color w:val="auto"/>
                <w:sz w:val="24"/>
                <w:highlight w:val="none"/>
              </w:rPr>
              <w:t>产量（万吨）</w:t>
            </w:r>
          </w:p>
        </w:tc>
        <w:tc>
          <w:tcPr>
            <w:tcW w:w="2845" w:type="dxa"/>
            <w:tcBorders>
              <w:top w:val="single" w:color="auto" w:sz="12" w:space="0"/>
              <w:left w:val="single" w:color="auto" w:sz="4" w:space="0"/>
              <w:bottom w:val="single" w:color="auto" w:sz="4" w:space="0"/>
              <w:right w:val="nil"/>
            </w:tcBorders>
          </w:tcPr>
          <w:p>
            <w:pPr>
              <w:keepNext w:val="0"/>
              <w:keepLines w:val="0"/>
              <w:pageBreakBefore w:val="0"/>
              <w:widowControl w:val="0"/>
              <w:kinsoku/>
              <w:overflowPunct/>
              <w:topLinePunct w:val="0"/>
              <w:autoSpaceDE/>
              <w:autoSpaceDN/>
              <w:bidi w:val="0"/>
              <w:adjustRightInd/>
              <w:snapToGrid/>
              <w:spacing w:line="480" w:lineRule="auto"/>
              <w:jc w:val="center"/>
              <w:rPr>
                <w:rFonts w:ascii="Times New Roman" w:hAnsi="Times New Roman" w:cs="Times New Roman"/>
                <w:b/>
                <w:color w:val="auto"/>
                <w:sz w:val="24"/>
                <w:highlight w:val="none"/>
              </w:rPr>
            </w:pPr>
            <w:r>
              <w:rPr>
                <w:rFonts w:ascii="Times New Roman" w:hAnsi="Times New Roman" w:cs="Times New Roman"/>
                <w:b/>
                <w:color w:val="auto"/>
                <w:sz w:val="24"/>
                <w:highlight w:val="none"/>
              </w:rPr>
              <w:t>比上年增长（%）</w:t>
            </w:r>
          </w:p>
        </w:tc>
      </w:tr>
      <w:tr>
        <w:tblPrEx>
          <w:tblCellMar>
            <w:top w:w="0" w:type="dxa"/>
            <w:left w:w="108" w:type="dxa"/>
            <w:bottom w:w="0" w:type="dxa"/>
            <w:right w:w="108" w:type="dxa"/>
          </w:tblCellMar>
        </w:tblPrEx>
        <w:trPr>
          <w:trHeight w:val="255" w:hRule="atLeast"/>
          <w:jc w:val="center"/>
        </w:trPr>
        <w:tc>
          <w:tcPr>
            <w:tcW w:w="2360" w:type="dxa"/>
            <w:tcBorders>
              <w:top w:val="single" w:color="auto" w:sz="4" w:space="0"/>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ascii="Times New Roman" w:hAnsi="Times New Roman" w:cs="宋体"/>
                <w:b w:val="0"/>
                <w:bCs w:val="0"/>
                <w:color w:val="auto"/>
                <w:sz w:val="20"/>
                <w:szCs w:val="20"/>
                <w:highlight w:val="none"/>
              </w:rPr>
            </w:pPr>
            <w:r>
              <w:rPr>
                <w:rFonts w:hint="eastAsia" w:ascii="Times New Roman" w:hAnsi="Times New Roman" w:cs="宋体"/>
                <w:b w:val="0"/>
                <w:bCs w:val="0"/>
                <w:color w:val="auto"/>
                <w:sz w:val="20"/>
                <w:szCs w:val="20"/>
                <w:highlight w:val="none"/>
              </w:rPr>
              <w:t>粮食</w:t>
            </w:r>
          </w:p>
        </w:tc>
        <w:tc>
          <w:tcPr>
            <w:tcW w:w="2715" w:type="dxa"/>
            <w:tcBorders>
              <w:top w:val="single" w:color="auto" w:sz="4" w:space="0"/>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rPr>
            </w:pPr>
            <w:r>
              <w:rPr>
                <w:rFonts w:hint="eastAsia" w:ascii="Times New Roman" w:hAnsi="Times New Roman" w:cs="宋体"/>
                <w:b w:val="0"/>
                <w:bCs w:val="0"/>
                <w:color w:val="auto"/>
                <w:sz w:val="20"/>
                <w:szCs w:val="20"/>
                <w:highlight w:val="none"/>
                <w:lang w:val="en-US" w:eastAsia="zh-CN"/>
              </w:rPr>
              <w:t>933.31</w:t>
            </w:r>
          </w:p>
        </w:tc>
        <w:tc>
          <w:tcPr>
            <w:tcW w:w="2845" w:type="dxa"/>
            <w:tcBorders>
              <w:top w:val="single" w:color="auto" w:sz="4" w:space="0"/>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rPr>
            </w:pPr>
            <w:r>
              <w:rPr>
                <w:rFonts w:hint="eastAsia" w:ascii="Times New Roman" w:hAnsi="Times New Roman" w:cs="宋体"/>
                <w:b w:val="0"/>
                <w:bCs w:val="0"/>
                <w:color w:val="auto"/>
                <w:sz w:val="20"/>
                <w:szCs w:val="20"/>
                <w:highlight w:val="none"/>
                <w:lang w:val="en-US" w:eastAsia="zh-CN"/>
              </w:rPr>
              <w:t>1.6</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200" w:firstLineChars="100"/>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lang w:eastAsia="zh-CN"/>
              </w:rPr>
              <w:t>其中：</w:t>
            </w:r>
            <w:r>
              <w:rPr>
                <w:rFonts w:hint="eastAsia" w:ascii="Times New Roman" w:hAnsi="Times New Roman" w:cs="宋体"/>
                <w:color w:val="auto"/>
                <w:sz w:val="20"/>
                <w:szCs w:val="20"/>
                <w:highlight w:val="none"/>
              </w:rPr>
              <w:t>夏粮</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551.50</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0.01</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800" w:firstLineChars="400"/>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秋粮</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color w:val="auto"/>
                <w:sz w:val="20"/>
                <w:szCs w:val="20"/>
                <w:highlight w:val="none"/>
                <w:lang w:val="en-US" w:eastAsia="zh-CN"/>
              </w:rPr>
              <w:t>381.80</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4.0</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200" w:firstLineChars="100"/>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lang w:eastAsia="zh-CN"/>
              </w:rPr>
              <w:t>其中：</w:t>
            </w:r>
            <w:r>
              <w:rPr>
                <w:rFonts w:hint="eastAsia" w:ascii="Times New Roman" w:hAnsi="Times New Roman" w:cs="宋体"/>
                <w:color w:val="auto"/>
                <w:sz w:val="20"/>
                <w:szCs w:val="20"/>
                <w:highlight w:val="none"/>
              </w:rPr>
              <w:t>谷物</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907.27</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1.6</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1000" w:firstLineChars="50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其中：小麦</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551.39</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-0.01</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1600" w:firstLineChars="800"/>
              <w:jc w:val="both"/>
              <w:textAlignment w:val="auto"/>
              <w:rPr>
                <w:rFonts w:hint="default" w:ascii="Times New Roman" w:hAnsi="Times New Roman"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玉米</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355.49</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4.1</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800" w:firstLineChars="400"/>
              <w:jc w:val="both"/>
              <w:textAlignment w:val="auto"/>
              <w:rPr>
                <w:rFonts w:hint="eastAsia" w:ascii="Times New Roman" w:hAnsi="Times New Roman" w:cs="宋体"/>
                <w:color w:val="auto"/>
                <w:sz w:val="20"/>
                <w:szCs w:val="20"/>
                <w:highlight w:val="none"/>
              </w:rPr>
            </w:pPr>
            <w:r>
              <w:rPr>
                <w:rFonts w:hint="eastAsia" w:ascii="Times New Roman" w:hAnsi="Times New Roman" w:cs="宋体"/>
                <w:color w:val="auto"/>
                <w:sz w:val="20"/>
                <w:szCs w:val="20"/>
                <w:highlight w:val="none"/>
              </w:rPr>
              <w:t>豆类</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14.95</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3.4</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800" w:firstLineChars="40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薯类（鲜薯）</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55.38</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3.8</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油料</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52.93</w:t>
            </w:r>
            <w:r>
              <w:rPr>
                <w:rFonts w:hint="eastAsia" w:ascii="Times New Roman" w:hAnsi="Times New Roman" w:eastAsia="宋体" w:cs="宋体"/>
                <w:b w:val="0"/>
                <w:bCs w:val="0"/>
                <w:color w:val="auto"/>
                <w:sz w:val="20"/>
                <w:szCs w:val="20"/>
                <w:highlight w:val="none"/>
                <w:lang w:val="en-US" w:eastAsia="zh-CN"/>
              </w:rPr>
              <w:t xml:space="preserve"> </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2.9</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200" w:firstLineChars="100"/>
              <w:jc w:val="both"/>
              <w:textAlignment w:val="auto"/>
              <w:rPr>
                <w:rFonts w:hint="default" w:ascii="Times New Roman" w:hAnsi="Times New Roman" w:eastAsia="宋体" w:cs="宋体"/>
                <w:color w:val="auto"/>
                <w:sz w:val="20"/>
                <w:szCs w:val="20"/>
                <w:highlight w:val="none"/>
                <w:lang w:val="en-US" w:eastAsia="zh-CN"/>
              </w:rPr>
            </w:pPr>
            <w:r>
              <w:rPr>
                <w:rFonts w:hint="eastAsia" w:ascii="Times New Roman" w:hAnsi="Times New Roman" w:cs="宋体"/>
                <w:color w:val="auto"/>
                <w:sz w:val="20"/>
                <w:szCs w:val="20"/>
                <w:highlight w:val="none"/>
                <w:lang w:val="en-US" w:eastAsia="zh-CN"/>
              </w:rPr>
              <w:t>其中：花生</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47.48</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3.5</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lang w:eastAsia="zh-CN"/>
              </w:rPr>
              <w:t>蔬菜及食用菌</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1275.06</w:t>
            </w:r>
          </w:p>
        </w:tc>
        <w:tc>
          <w:tcPr>
            <w:tcW w:w="2845" w:type="dxa"/>
            <w:tcBorders>
              <w:top w:val="nil"/>
              <w:left w:val="single" w:color="auto" w:sz="4" w:space="0"/>
              <w:bottom w:val="nil"/>
              <w:right w:val="nil"/>
            </w:tcBorders>
            <w:vAlign w:val="center"/>
          </w:tcPr>
          <w:p>
            <w:pPr>
              <w:pStyle w:val="26"/>
              <w:keepNext w:val="0"/>
              <w:keepLines w:val="0"/>
              <w:pageBreakBefore w:val="0"/>
              <w:widowControl/>
              <w:kinsoku/>
              <w:wordWrap/>
              <w:overflowPunct/>
              <w:topLinePunct w:val="0"/>
              <w:autoSpaceDE/>
              <w:autoSpaceDN/>
              <w:bidi w:val="0"/>
              <w:adjustRightInd/>
              <w:snapToGrid/>
              <w:spacing w:beforeAutospacing="0" w:afterAutospacing="0" w:line="300" w:lineRule="atLeas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3.6</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瓜果</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default" w:ascii="Times New Roman" w:hAnsi="Times New Roman" w:eastAsiaTheme="minorEastAsia" w:cstheme="minorEastAsia"/>
                <w:b w:val="0"/>
                <w:bCs w:val="0"/>
                <w:color w:val="auto"/>
                <w:sz w:val="20"/>
                <w:szCs w:val="20"/>
                <w:highlight w:val="none"/>
                <w:lang w:val="en-US" w:eastAsia="zh-CN"/>
              </w:rPr>
            </w:pPr>
            <w:r>
              <w:rPr>
                <w:rFonts w:hint="eastAsia" w:ascii="Times New Roman" w:hAnsi="Times New Roman" w:eastAsiaTheme="minorEastAsia" w:cstheme="minorEastAsia"/>
                <w:b w:val="0"/>
                <w:bCs w:val="0"/>
                <w:color w:val="auto"/>
                <w:sz w:val="20"/>
                <w:szCs w:val="20"/>
                <w:highlight w:val="none"/>
                <w:lang w:val="en-US" w:eastAsia="zh-CN"/>
              </w:rPr>
              <w:t>378.76</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default" w:ascii="Times New Roman" w:hAnsi="Times New Roman" w:eastAsiaTheme="minorEastAsia" w:cstheme="minorEastAsia"/>
                <w:b w:val="0"/>
                <w:bCs w:val="0"/>
                <w:color w:val="auto"/>
                <w:sz w:val="20"/>
                <w:szCs w:val="20"/>
                <w:highlight w:val="none"/>
                <w:lang w:val="en-US" w:eastAsia="zh-CN"/>
              </w:rPr>
            </w:pPr>
            <w:r>
              <w:rPr>
                <w:rFonts w:hint="eastAsia" w:ascii="Times New Roman" w:hAnsi="Times New Roman" w:eastAsiaTheme="minorEastAsia" w:cstheme="minorEastAsia"/>
                <w:b w:val="0"/>
                <w:bCs w:val="0"/>
                <w:color w:val="auto"/>
                <w:sz w:val="20"/>
                <w:szCs w:val="20"/>
                <w:highlight w:val="none"/>
                <w:lang w:val="en-US" w:eastAsia="zh-CN"/>
              </w:rPr>
              <w:t>3.3</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猪肉</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auto"/>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64.73</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auto"/>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10.3</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牛肉</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3.16</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4.4</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羊肉</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3.85</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-14.8</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禽肉</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25.77</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10.7</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nil"/>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禽蛋</w:t>
            </w:r>
          </w:p>
        </w:tc>
        <w:tc>
          <w:tcPr>
            <w:tcW w:w="2715" w:type="dxa"/>
            <w:tcBorders>
              <w:top w:val="nil"/>
              <w:left w:val="single" w:color="auto" w:sz="4" w:space="0"/>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default" w:ascii="Times New Roman" w:hAnsi="Times New Roman" w:cs="宋体"/>
                <w:b w:val="0"/>
                <w:bCs w:val="0"/>
                <w:color w:val="auto"/>
                <w:sz w:val="20"/>
                <w:szCs w:val="20"/>
                <w:highlight w:val="none"/>
                <w:lang w:val="en-US" w:eastAsia="zh-CN"/>
              </w:rPr>
              <w:t>42.95</w:t>
            </w:r>
          </w:p>
        </w:tc>
        <w:tc>
          <w:tcPr>
            <w:tcW w:w="2845" w:type="dxa"/>
            <w:tcBorders>
              <w:top w:val="nil"/>
              <w:left w:val="single" w:color="auto" w:sz="4" w:space="0"/>
              <w:bottom w:val="nil"/>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-8.6</w:t>
            </w:r>
          </w:p>
        </w:tc>
      </w:tr>
      <w:tr>
        <w:tblPrEx>
          <w:tblCellMar>
            <w:top w:w="0" w:type="dxa"/>
            <w:left w:w="108" w:type="dxa"/>
            <w:bottom w:w="0" w:type="dxa"/>
            <w:right w:w="108" w:type="dxa"/>
          </w:tblCellMar>
        </w:tblPrEx>
        <w:trPr>
          <w:trHeight w:val="255" w:hRule="atLeast"/>
          <w:jc w:val="center"/>
        </w:trPr>
        <w:tc>
          <w:tcPr>
            <w:tcW w:w="2360" w:type="dxa"/>
            <w:tcBorders>
              <w:top w:val="nil"/>
              <w:left w:val="nil"/>
              <w:bottom w:val="single" w:color="000000" w:sz="12" w:space="0"/>
              <w:right w:val="single" w:color="auto" w:sz="4" w:space="0"/>
            </w:tcBorders>
            <w:vAlign w:val="top"/>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b w:val="0"/>
                <w:bCs w:val="0"/>
                <w:color w:val="auto"/>
                <w:sz w:val="20"/>
                <w:szCs w:val="20"/>
                <w:highlight w:val="none"/>
                <w:lang w:eastAsia="zh-CN"/>
              </w:rPr>
              <w:t>牛奶</w:t>
            </w:r>
          </w:p>
        </w:tc>
        <w:tc>
          <w:tcPr>
            <w:tcW w:w="2715" w:type="dxa"/>
            <w:tcBorders>
              <w:top w:val="nil"/>
              <w:left w:val="single" w:color="auto" w:sz="4" w:space="0"/>
              <w:bottom w:val="single" w:color="000000" w:sz="12" w:space="0"/>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eastAsia"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3.25</w:t>
            </w:r>
          </w:p>
        </w:tc>
        <w:tc>
          <w:tcPr>
            <w:tcW w:w="2845" w:type="dxa"/>
            <w:tcBorders>
              <w:top w:val="nil"/>
              <w:left w:val="single" w:color="auto" w:sz="4" w:space="0"/>
              <w:bottom w:val="single" w:color="000000" w:sz="12" w:space="0"/>
              <w:right w:val="nil"/>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400" w:lineRule="exact"/>
              <w:ind w:firstLine="0" w:firstLineChars="0"/>
              <w:jc w:val="center"/>
              <w:textAlignment w:val="auto"/>
              <w:rPr>
                <w:rFonts w:hint="default" w:ascii="Times New Roman" w:hAnsi="Times New Roman" w:eastAsiaTheme="minorEastAsia" w:cstheme="minorEastAsia"/>
                <w:b w:val="0"/>
                <w:bCs w:val="0"/>
                <w:color w:val="0000FF"/>
                <w:sz w:val="20"/>
                <w:szCs w:val="20"/>
                <w:highlight w:val="none"/>
                <w:lang w:val="en-US" w:eastAsia="zh-CN"/>
              </w:rPr>
            </w:pPr>
            <w:r>
              <w:rPr>
                <w:rFonts w:hint="eastAsia" w:ascii="Times New Roman" w:hAnsi="Times New Roman" w:cs="宋体"/>
                <w:b w:val="0"/>
                <w:bCs w:val="0"/>
                <w:color w:val="auto"/>
                <w:sz w:val="20"/>
                <w:szCs w:val="20"/>
                <w:highlight w:val="none"/>
                <w:lang w:val="en-US" w:eastAsia="zh-CN"/>
              </w:rPr>
              <w:t>-7.3</w:t>
            </w:r>
          </w:p>
        </w:tc>
      </w:tr>
    </w:tbl>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eastAsia="宋体" w:cs="Times New Roman"/>
          <w:strike/>
          <w:dstrike w:val="0"/>
          <w:color w:val="auto"/>
          <w:kern w:val="0"/>
          <w:sz w:val="24"/>
          <w:highlight w:val="none"/>
          <w:lang w:eastAsia="zh-CN"/>
        </w:rPr>
      </w:pPr>
      <w:r>
        <w:rPr>
          <w:rFonts w:hint="eastAsia" w:ascii="Times New Roman" w:hAnsi="Times New Roman" w:cs="Times New Roman"/>
          <w:color w:val="auto"/>
          <w:kern w:val="0"/>
          <w:sz w:val="24"/>
          <w:highlight w:val="none"/>
        </w:rPr>
        <w:t>年末农业机械总动力</w:t>
      </w:r>
      <w:r>
        <w:rPr>
          <w:rFonts w:hint="default" w:ascii="Times New Roman" w:hAnsi="Times New Roman" w:cs="Times New Roman"/>
          <w:color w:val="auto"/>
          <w:kern w:val="0"/>
          <w:sz w:val="24"/>
          <w:highlight w:val="none"/>
          <w:lang w:val="en-US" w:eastAsia="zh-CN"/>
        </w:rPr>
        <w:t>1136.47</w:t>
      </w:r>
      <w:r>
        <w:rPr>
          <w:rFonts w:hint="eastAsia" w:ascii="Times New Roman" w:hAnsi="Times New Roman" w:cs="Times New Roman"/>
          <w:color w:val="auto"/>
          <w:kern w:val="0"/>
          <w:sz w:val="24"/>
          <w:highlight w:val="none"/>
        </w:rPr>
        <w:t>万千瓦，比上年增长</w:t>
      </w:r>
      <w:r>
        <w:rPr>
          <w:rFonts w:hint="default" w:ascii="Times New Roman" w:hAnsi="Times New Roman" w:cs="Times New Roman"/>
          <w:color w:val="auto"/>
          <w:kern w:val="0"/>
          <w:sz w:val="24"/>
          <w:highlight w:val="none"/>
          <w:lang w:val="en-US"/>
        </w:rPr>
        <w:t>1.7</w:t>
      </w:r>
      <w:r>
        <w:rPr>
          <w:rFonts w:hint="eastAsia" w:ascii="Times New Roman" w:hAnsi="Times New Roman" w:cs="Times New Roman"/>
          <w:color w:val="auto"/>
          <w:kern w:val="0"/>
          <w:sz w:val="24"/>
          <w:highlight w:val="none"/>
        </w:rPr>
        <w:t>%；农用拖拉机</w:t>
      </w:r>
      <w:r>
        <w:rPr>
          <w:rFonts w:hint="default" w:ascii="Times New Roman" w:hAnsi="Times New Roman" w:cs="Times New Roman"/>
          <w:color w:val="auto"/>
          <w:kern w:val="0"/>
          <w:sz w:val="24"/>
          <w:highlight w:val="none"/>
          <w:lang w:val="en-US"/>
        </w:rPr>
        <w:t>28.93</w:t>
      </w:r>
      <w:r>
        <w:rPr>
          <w:rFonts w:hint="eastAsia" w:ascii="Times New Roman" w:hAnsi="Times New Roman" w:cs="Times New Roman"/>
          <w:color w:val="auto"/>
          <w:kern w:val="0"/>
          <w:sz w:val="24"/>
          <w:highlight w:val="none"/>
        </w:rPr>
        <w:t>万台，</w:t>
      </w:r>
      <w:r>
        <w:rPr>
          <w:rFonts w:hint="eastAsia" w:ascii="Times New Roman" w:hAnsi="Times New Roman" w:cs="Times New Roman"/>
          <w:color w:val="auto"/>
          <w:kern w:val="0"/>
          <w:sz w:val="24"/>
          <w:highlight w:val="none"/>
          <w:lang w:eastAsia="zh-CN"/>
        </w:rPr>
        <w:t>比</w:t>
      </w:r>
      <w:r>
        <w:rPr>
          <w:rFonts w:hint="eastAsia" w:ascii="Times New Roman" w:hAnsi="Times New Roman" w:cs="Times New Roman"/>
          <w:color w:val="auto"/>
          <w:kern w:val="0"/>
          <w:sz w:val="24"/>
          <w:highlight w:val="none"/>
        </w:rPr>
        <w:t>上年</w:t>
      </w:r>
      <w:r>
        <w:rPr>
          <w:rFonts w:hint="eastAsia" w:ascii="Times New Roman" w:hAnsi="Times New Roman" w:cs="Times New Roman"/>
          <w:color w:val="auto"/>
          <w:kern w:val="0"/>
          <w:sz w:val="24"/>
          <w:highlight w:val="none"/>
          <w:lang w:eastAsia="zh-CN"/>
        </w:rPr>
        <w:t>减少</w:t>
      </w:r>
      <w:r>
        <w:rPr>
          <w:rFonts w:hint="eastAsia" w:ascii="Times New Roman" w:hAnsi="Times New Roman" w:cs="Times New Roman"/>
          <w:color w:val="auto"/>
          <w:kern w:val="0"/>
          <w:sz w:val="24"/>
          <w:highlight w:val="none"/>
          <w:lang w:val="en-US" w:eastAsia="zh-CN"/>
        </w:rPr>
        <w:t>3.2</w:t>
      </w:r>
      <w:r>
        <w:rPr>
          <w:rFonts w:hint="eastAsia" w:ascii="Times New Roman" w:hAnsi="Times New Roman" w:cs="Times New Roman"/>
          <w:color w:val="auto"/>
          <w:kern w:val="0"/>
          <w:sz w:val="24"/>
          <w:highlight w:val="none"/>
        </w:rPr>
        <w:t>%。</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ascii="Times New Roman" w:hAnsi="Times New Roman" w:cs="Times New Roman"/>
          <w:color w:val="auto"/>
          <w:kern w:val="0"/>
          <w:sz w:val="24"/>
          <w:highlight w:val="none"/>
        </w:rPr>
      </w:pPr>
      <w:r>
        <w:rPr>
          <w:rFonts w:hint="eastAsia" w:ascii="Times New Roman" w:hAnsi="Times New Roman" w:cs="Times New Roman"/>
          <w:color w:val="auto"/>
          <w:kern w:val="0"/>
          <w:sz w:val="24"/>
          <w:highlight w:val="none"/>
        </w:rPr>
        <w:t>截至年</w:t>
      </w:r>
      <w:r>
        <w:rPr>
          <w:rFonts w:hint="eastAsia" w:ascii="Times New Roman" w:hAnsi="Times New Roman" w:cs="Times New Roman"/>
          <w:color w:val="auto"/>
          <w:kern w:val="0"/>
          <w:sz w:val="24"/>
          <w:highlight w:val="none"/>
          <w:lang w:eastAsia="zh-CN"/>
        </w:rPr>
        <w:t>末</w:t>
      </w:r>
      <w:r>
        <w:rPr>
          <w:rFonts w:hint="eastAsia" w:ascii="Times New Roman" w:hAnsi="Times New Roman" w:cs="Times New Roman"/>
          <w:color w:val="auto"/>
          <w:kern w:val="0"/>
          <w:sz w:val="24"/>
          <w:highlight w:val="none"/>
        </w:rPr>
        <w:t>，全市有效期内绿色食品</w:t>
      </w:r>
      <w:r>
        <w:rPr>
          <w:rFonts w:hint="default" w:ascii="Times New Roman" w:hAnsi="Times New Roman" w:cs="Times New Roman"/>
          <w:color w:val="auto"/>
          <w:kern w:val="0"/>
          <w:sz w:val="24"/>
          <w:highlight w:val="none"/>
          <w:lang w:val="en-US" w:eastAsia="zh-CN"/>
        </w:rPr>
        <w:t>228</w:t>
      </w:r>
      <w:r>
        <w:rPr>
          <w:rFonts w:hint="eastAsia" w:ascii="Times New Roman" w:hAnsi="Times New Roman" w:cs="Times New Roman"/>
          <w:color w:val="auto"/>
          <w:kern w:val="0"/>
          <w:sz w:val="24"/>
          <w:highlight w:val="none"/>
        </w:rPr>
        <w:t>个、</w:t>
      </w:r>
      <w:r>
        <w:rPr>
          <w:rFonts w:hint="default" w:ascii="Times New Roman" w:hAnsi="Times New Roman" w:eastAsia="宋体" w:cs="Times New Roman"/>
          <w:color w:val="auto"/>
          <w:kern w:val="0"/>
          <w:sz w:val="24"/>
          <w:highlight w:val="none"/>
          <w:lang w:val="en-US" w:eastAsia="zh-CN"/>
        </w:rPr>
        <w:t>地理标志农产品8个</w:t>
      </w:r>
      <w:r>
        <w:rPr>
          <w:rFonts w:hint="eastAsia" w:ascii="Times New Roman" w:hAnsi="Times New Roman" w:eastAsia="宋体" w:cs="Times New Roman"/>
          <w:color w:val="auto"/>
          <w:kern w:val="0"/>
          <w:sz w:val="24"/>
          <w:highlight w:val="none"/>
          <w:lang w:val="en-US" w:eastAsia="zh-CN"/>
        </w:rPr>
        <w:t>、</w:t>
      </w:r>
      <w:r>
        <w:rPr>
          <w:rFonts w:hint="eastAsia" w:ascii="Times New Roman" w:hAnsi="Times New Roman" w:cs="Times New Roman"/>
          <w:color w:val="auto"/>
          <w:kern w:val="0"/>
          <w:sz w:val="24"/>
          <w:highlight w:val="none"/>
        </w:rPr>
        <w:t>全国名特优新农产品</w:t>
      </w:r>
      <w:r>
        <w:rPr>
          <w:rFonts w:hint="eastAsia" w:ascii="Times New Roman" w:hAnsi="Times New Roman" w:cs="Times New Roman"/>
          <w:color w:val="auto"/>
          <w:kern w:val="0"/>
          <w:sz w:val="24"/>
          <w:highlight w:val="none"/>
          <w:lang w:val="en-US" w:eastAsia="zh-CN"/>
        </w:rPr>
        <w:t>72</w:t>
      </w:r>
      <w:r>
        <w:rPr>
          <w:rFonts w:hint="eastAsia" w:ascii="Times New Roman" w:hAnsi="Times New Roman" w:cs="Times New Roman"/>
          <w:color w:val="auto"/>
          <w:kern w:val="0"/>
          <w:sz w:val="24"/>
          <w:highlight w:val="none"/>
        </w:rPr>
        <w:t>个，建成全国绿色食品原料标准化生产基地</w:t>
      </w:r>
      <w:r>
        <w:rPr>
          <w:rFonts w:hint="eastAsia" w:ascii="Times New Roman" w:hAnsi="Times New Roman" w:cs="Times New Roman"/>
          <w:color w:val="auto"/>
          <w:kern w:val="0"/>
          <w:sz w:val="24"/>
          <w:highlight w:val="none"/>
          <w:lang w:val="en-US" w:eastAsia="zh-CN"/>
        </w:rPr>
        <w:t>4</w:t>
      </w:r>
      <w:r>
        <w:rPr>
          <w:rFonts w:hint="eastAsia" w:ascii="Times New Roman" w:hAnsi="Times New Roman" w:cs="Times New Roman"/>
          <w:color w:val="auto"/>
          <w:kern w:val="0"/>
          <w:sz w:val="24"/>
          <w:highlight w:val="none"/>
        </w:rPr>
        <w:t>个，面积</w:t>
      </w:r>
      <w:r>
        <w:rPr>
          <w:rFonts w:hint="eastAsia" w:ascii="Times New Roman" w:hAnsi="Times New Roman" w:cs="Times New Roman"/>
          <w:color w:val="auto"/>
          <w:kern w:val="0"/>
          <w:sz w:val="24"/>
          <w:highlight w:val="none"/>
          <w:lang w:val="en-US" w:eastAsia="zh-CN"/>
        </w:rPr>
        <w:t>177</w:t>
      </w:r>
      <w:r>
        <w:rPr>
          <w:rFonts w:hint="eastAsia" w:ascii="Times New Roman" w:hAnsi="Times New Roman" w:cs="Times New Roman"/>
          <w:color w:val="auto"/>
          <w:kern w:val="0"/>
          <w:sz w:val="24"/>
          <w:highlight w:val="none"/>
        </w:rPr>
        <w:t>万亩</w:t>
      </w:r>
      <w:r>
        <w:rPr>
          <w:rFonts w:hint="eastAsia" w:ascii="Times New Roman" w:hAnsi="Times New Roman" w:cs="Times New Roman"/>
          <w:color w:val="auto"/>
          <w:kern w:val="0"/>
          <w:sz w:val="24"/>
          <w:highlight w:val="none"/>
          <w:lang w:eastAsia="zh-CN"/>
        </w:rPr>
        <w:t>；</w:t>
      </w:r>
      <w:r>
        <w:rPr>
          <w:rFonts w:hint="eastAsia" w:ascii="Times New Roman" w:hAnsi="Times New Roman" w:cs="Times New Roman"/>
          <w:color w:val="auto"/>
          <w:kern w:val="0"/>
          <w:sz w:val="24"/>
          <w:highlight w:val="none"/>
        </w:rPr>
        <w:t>入选河南省知名农业品牌</w:t>
      </w:r>
      <w:r>
        <w:rPr>
          <w:rFonts w:hint="eastAsia" w:ascii="Times New Roman" w:hAnsi="Times New Roman" w:cs="Times New Roman"/>
          <w:color w:val="auto"/>
          <w:kern w:val="0"/>
          <w:sz w:val="24"/>
          <w:highlight w:val="none"/>
          <w:lang w:val="en-US" w:eastAsia="zh-CN"/>
        </w:rPr>
        <w:t>110</w:t>
      </w:r>
      <w:r>
        <w:rPr>
          <w:rFonts w:hint="eastAsia" w:ascii="Times New Roman" w:hAnsi="Times New Roman" w:cs="Times New Roman"/>
          <w:color w:val="auto"/>
          <w:kern w:val="0"/>
          <w:sz w:val="24"/>
          <w:highlight w:val="none"/>
        </w:rPr>
        <w:t>个，其中区域公用品牌</w:t>
      </w:r>
      <w:r>
        <w:rPr>
          <w:rFonts w:hint="eastAsia" w:ascii="Times New Roman" w:hAnsi="Times New Roman" w:cs="Times New Roman"/>
          <w:color w:val="auto"/>
          <w:kern w:val="0"/>
          <w:sz w:val="24"/>
          <w:highlight w:val="none"/>
          <w:lang w:val="en-US" w:eastAsia="zh-CN"/>
        </w:rPr>
        <w:t>14</w:t>
      </w:r>
      <w:r>
        <w:rPr>
          <w:rFonts w:hint="eastAsia" w:ascii="Times New Roman" w:hAnsi="Times New Roman" w:cs="Times New Roman"/>
          <w:color w:val="auto"/>
          <w:kern w:val="0"/>
          <w:sz w:val="24"/>
          <w:highlight w:val="none"/>
        </w:rPr>
        <w:t>个、农业企业品牌</w:t>
      </w:r>
      <w:r>
        <w:rPr>
          <w:rFonts w:hint="eastAsia" w:ascii="Times New Roman" w:hAnsi="Times New Roman" w:cs="Times New Roman"/>
          <w:color w:val="auto"/>
          <w:kern w:val="0"/>
          <w:sz w:val="24"/>
          <w:highlight w:val="none"/>
          <w:lang w:val="en-US" w:eastAsia="zh-CN"/>
        </w:rPr>
        <w:t>22</w:t>
      </w:r>
      <w:r>
        <w:rPr>
          <w:rFonts w:hint="eastAsia" w:ascii="Times New Roman" w:hAnsi="Times New Roman" w:cs="Times New Roman"/>
          <w:color w:val="auto"/>
          <w:kern w:val="0"/>
          <w:sz w:val="24"/>
          <w:highlight w:val="none"/>
        </w:rPr>
        <w:t>个、特色农产品品牌</w:t>
      </w:r>
      <w:r>
        <w:rPr>
          <w:rFonts w:hint="eastAsia" w:ascii="Times New Roman" w:hAnsi="Times New Roman" w:cs="Times New Roman"/>
          <w:color w:val="auto"/>
          <w:kern w:val="0"/>
          <w:sz w:val="24"/>
          <w:highlight w:val="none"/>
          <w:lang w:val="en-US" w:eastAsia="zh-CN"/>
        </w:rPr>
        <w:t>74</w:t>
      </w:r>
      <w:r>
        <w:rPr>
          <w:rFonts w:hint="eastAsia" w:ascii="Times New Roman" w:hAnsi="Times New Roman" w:cs="Times New Roman"/>
          <w:color w:val="auto"/>
          <w:kern w:val="0"/>
          <w:sz w:val="24"/>
          <w:highlight w:val="none"/>
        </w:rPr>
        <w:t>个</w:t>
      </w:r>
      <w:r>
        <w:rPr>
          <w:rFonts w:hint="eastAsia" w:ascii="Times New Roman" w:hAnsi="Times New Roman" w:cs="Times New Roman"/>
          <w:color w:val="auto"/>
          <w:kern w:val="0"/>
          <w:sz w:val="24"/>
          <w:highlight w:val="none"/>
          <w:lang w:eastAsia="zh-CN"/>
        </w:rPr>
        <w:t>；</w:t>
      </w:r>
      <w:r>
        <w:rPr>
          <w:rFonts w:hint="eastAsia" w:ascii="Times New Roman" w:hAnsi="Times New Roman" w:eastAsia="宋体" w:cs="Times New Roman"/>
          <w:color w:val="auto"/>
          <w:kern w:val="0"/>
          <w:sz w:val="24"/>
          <w:highlight w:val="none"/>
          <w:lang w:val="en-US" w:eastAsia="zh-CN"/>
        </w:rPr>
        <w:t>纳入</w:t>
      </w:r>
      <w:r>
        <w:rPr>
          <w:rFonts w:hint="eastAsia" w:ascii="Times New Roman" w:hAnsi="Times New Roman" w:eastAsia="宋体" w:cs="Times New Roman"/>
          <w:color w:val="auto"/>
          <w:kern w:val="0"/>
          <w:sz w:val="24"/>
          <w:highlight w:val="none"/>
        </w:rPr>
        <w:t>河</w:t>
      </w:r>
      <w:r>
        <w:rPr>
          <w:rFonts w:hint="eastAsia" w:ascii="Times New Roman" w:hAnsi="Times New Roman" w:cs="Times New Roman"/>
          <w:color w:val="auto"/>
          <w:kern w:val="0"/>
          <w:sz w:val="24"/>
          <w:highlight w:val="none"/>
        </w:rPr>
        <w:t>南省农业区域公用品牌“豫农优品”商标及标识使用目录</w:t>
      </w:r>
      <w:r>
        <w:rPr>
          <w:rFonts w:hint="eastAsia" w:ascii="Times New Roman" w:hAnsi="Times New Roman" w:cs="Times New Roman"/>
          <w:color w:val="auto"/>
          <w:kern w:val="0"/>
          <w:sz w:val="24"/>
          <w:highlight w:val="none"/>
          <w:lang w:val="en-US" w:eastAsia="zh-CN"/>
        </w:rPr>
        <w:t>78</w:t>
      </w:r>
      <w:r>
        <w:rPr>
          <w:rFonts w:hint="eastAsia" w:ascii="Times New Roman" w:hAnsi="Times New Roman" w:cs="Times New Roman"/>
          <w:color w:val="auto"/>
          <w:kern w:val="0"/>
          <w:sz w:val="24"/>
          <w:highlight w:val="none"/>
        </w:rPr>
        <w:t>个</w:t>
      </w:r>
      <w:r>
        <w:rPr>
          <w:rFonts w:hint="eastAsia" w:ascii="Times New Roman" w:hAnsi="Times New Roman" w:cs="Times New Roman"/>
          <w:color w:val="auto"/>
          <w:kern w:val="0"/>
          <w:sz w:val="24"/>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color w:val="auto"/>
          <w:kern w:val="1"/>
          <w:sz w:val="28"/>
          <w:szCs w:val="28"/>
          <w:highlight w:val="none"/>
        </w:rPr>
      </w:pPr>
      <w:r>
        <w:rPr>
          <w:rFonts w:ascii="Times New Roman" w:hAnsi="Times New Roman" w:cs="Times New Roman"/>
          <w:b/>
          <w:bCs/>
          <w:color w:val="auto"/>
          <w:sz w:val="28"/>
          <w:szCs w:val="28"/>
          <w:highlight w:val="none"/>
        </w:rPr>
        <w:t>三、工业和建筑业</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cs="Times New Roman"/>
          <w:color w:val="auto"/>
          <w:kern w:val="0"/>
          <w:sz w:val="24"/>
          <w:highlight w:val="none"/>
        </w:rPr>
      </w:pPr>
      <w:r>
        <w:rPr>
          <w:rFonts w:hint="eastAsia" w:ascii="Times New Roman" w:hAnsi="Times New Roman" w:cs="Times New Roman"/>
          <w:color w:val="auto"/>
          <w:kern w:val="0"/>
          <w:sz w:val="24"/>
          <w:highlight w:val="none"/>
        </w:rPr>
        <w:t>全年全市规模以上工业增加值</w:t>
      </w:r>
      <w:r>
        <w:rPr>
          <w:rFonts w:hint="eastAsia" w:ascii="Times New Roman" w:hAnsi="Times New Roman" w:cs="Times New Roman"/>
          <w:color w:val="auto"/>
          <w:kern w:val="0"/>
          <w:sz w:val="24"/>
          <w:highlight w:val="none"/>
          <w:lang w:eastAsia="zh-CN"/>
        </w:rPr>
        <w:t>比上年</w:t>
      </w:r>
      <w:r>
        <w:rPr>
          <w:rFonts w:hint="eastAsia" w:ascii="Times New Roman" w:hAnsi="Times New Roman" w:cs="Times New Roman"/>
          <w:color w:val="auto"/>
          <w:kern w:val="0"/>
          <w:sz w:val="24"/>
          <w:highlight w:val="none"/>
        </w:rPr>
        <w:t>增长7.6%。其中，重工业增加值增长2.9%，轻工业增加值增长11.4%，制造业增加值增长8.9%，六大支柱产业增加值增长9.7%。分行业看，全市32个行业大类中，有18个行业同比增长。</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eastAsia="宋体" w:cs="Times New Roman"/>
          <w:color w:val="auto"/>
          <w:kern w:val="0"/>
          <w:sz w:val="24"/>
          <w:highlight w:val="none"/>
          <w:lang w:eastAsia="zh-CN"/>
        </w:rPr>
      </w:pPr>
      <w:r>
        <w:rPr>
          <w:rFonts w:hint="eastAsia" w:ascii="Times New Roman" w:hAnsi="Times New Roman" w:cs="Times New Roman"/>
          <w:color w:val="auto"/>
          <w:kern w:val="0"/>
          <w:sz w:val="24"/>
          <w:highlight w:val="none"/>
        </w:rPr>
        <w:t>全年全市规模以上工业高技术产业、战略性新兴产业、高新技术产业增加值分别增长17.1%、9.6%、7.5%。其中，新能源汽车产业增加值增长70.5%，生物产业增加值增长20.3%，高端装备制造业增加值增长8.2%。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olor w:val="auto"/>
          <w:sz w:val="24"/>
          <w:szCs w:val="24"/>
          <w:highlight w:val="none"/>
          <w:lang w:eastAsia="zh-CN"/>
        </w:rPr>
      </w:pPr>
      <w:r>
        <w:rPr>
          <w:rFonts w:ascii="Times New Roman" w:hAnsi="Times New Roman" w:cs="Times New Roman"/>
          <w:b/>
          <w:color w:val="auto"/>
          <w:kern w:val="1"/>
          <w:sz w:val="24"/>
          <w:szCs w:val="24"/>
          <w:highlight w:val="none"/>
        </w:rPr>
        <w:t>表</w:t>
      </w:r>
      <w:r>
        <w:rPr>
          <w:rFonts w:hint="eastAsia" w:ascii="Times New Roman" w:hAnsi="Times New Roman" w:cs="Times New Roman"/>
          <w:b/>
          <w:color w:val="auto"/>
          <w:kern w:val="1"/>
          <w:sz w:val="24"/>
          <w:szCs w:val="24"/>
          <w:highlight w:val="none"/>
          <w:lang w:val="en-US" w:eastAsia="zh-CN"/>
        </w:rPr>
        <w:t xml:space="preserve">4 </w:t>
      </w:r>
      <w:r>
        <w:rPr>
          <w:rFonts w:hint="eastAsia" w:ascii="Times New Roman" w:hAnsi="Times New Roman" w:cs="Times New Roman"/>
          <w:b/>
          <w:color w:val="auto"/>
          <w:kern w:val="1"/>
          <w:sz w:val="24"/>
          <w:szCs w:val="24"/>
          <w:highlight w:val="none"/>
          <w:lang w:eastAsia="zh-CN"/>
        </w:rPr>
        <w:t xml:space="preserve"> </w:t>
      </w:r>
      <w:r>
        <w:rPr>
          <w:rFonts w:hint="eastAsia" w:ascii="Times New Roman" w:hAnsi="Times New Roman" w:cs="Times New Roman"/>
          <w:b/>
          <w:color w:val="auto"/>
          <w:kern w:val="1"/>
          <w:sz w:val="24"/>
          <w:szCs w:val="24"/>
          <w:highlight w:val="none"/>
          <w:lang w:val="en-US" w:eastAsia="zh-CN"/>
        </w:rPr>
        <w:t>2</w:t>
      </w:r>
      <w:r>
        <w:rPr>
          <w:rFonts w:hint="eastAsia" w:ascii="Times New Roman" w:hAnsi="Times New Roman" w:cs="Times New Roman"/>
          <w:b/>
          <w:color w:val="auto"/>
          <w:kern w:val="1"/>
          <w:sz w:val="24"/>
          <w:szCs w:val="24"/>
          <w:highlight w:val="none"/>
          <w:lang w:eastAsia="zh-CN"/>
        </w:rPr>
        <w:t>025</w:t>
      </w:r>
      <w:r>
        <w:rPr>
          <w:rFonts w:ascii="Times New Roman" w:hAnsi="Times New Roman" w:cs="Times New Roman"/>
          <w:b/>
          <w:color w:val="auto"/>
          <w:kern w:val="1"/>
          <w:sz w:val="24"/>
          <w:szCs w:val="24"/>
          <w:highlight w:val="none"/>
        </w:rPr>
        <w:t>年</w:t>
      </w:r>
      <w:r>
        <w:rPr>
          <w:rFonts w:hint="eastAsia" w:ascii="Times New Roman" w:hAnsi="Times New Roman" w:cs="Times New Roman"/>
          <w:b/>
          <w:color w:val="auto"/>
          <w:kern w:val="1"/>
          <w:sz w:val="24"/>
          <w:szCs w:val="24"/>
          <w:highlight w:val="none"/>
          <w:lang w:eastAsia="zh-CN"/>
        </w:rPr>
        <w:t>周口市</w:t>
      </w:r>
      <w:r>
        <w:rPr>
          <w:rFonts w:ascii="Times New Roman" w:hAnsi="Times New Roman" w:cs="Times New Roman"/>
          <w:b/>
          <w:color w:val="auto"/>
          <w:kern w:val="1"/>
          <w:sz w:val="24"/>
          <w:szCs w:val="24"/>
          <w:highlight w:val="none"/>
        </w:rPr>
        <w:t>规模以上工业增加值</w:t>
      </w:r>
      <w:r>
        <w:rPr>
          <w:rFonts w:hint="eastAsia" w:ascii="Times New Roman" w:hAnsi="Times New Roman" w:cs="Times New Roman"/>
          <w:b/>
          <w:color w:val="auto"/>
          <w:kern w:val="1"/>
          <w:sz w:val="24"/>
          <w:szCs w:val="24"/>
          <w:highlight w:val="none"/>
          <w:lang w:eastAsia="zh-CN"/>
        </w:rPr>
        <w:t>增长速度</w:t>
      </w:r>
    </w:p>
    <w:tbl>
      <w:tblPr>
        <w:tblStyle w:val="13"/>
        <w:tblW w:w="8559" w:type="dxa"/>
        <w:tblInd w:w="0" w:type="dxa"/>
        <w:tblLayout w:type="fixed"/>
        <w:tblCellMar>
          <w:top w:w="0" w:type="dxa"/>
          <w:left w:w="108" w:type="dxa"/>
          <w:bottom w:w="0" w:type="dxa"/>
          <w:right w:w="108" w:type="dxa"/>
        </w:tblCellMar>
      </w:tblPr>
      <w:tblGrid>
        <w:gridCol w:w="4569"/>
        <w:gridCol w:w="3990"/>
      </w:tblGrid>
      <w:tr>
        <w:tblPrEx>
          <w:tblCellMar>
            <w:top w:w="0" w:type="dxa"/>
            <w:left w:w="108" w:type="dxa"/>
            <w:bottom w:w="0" w:type="dxa"/>
            <w:right w:w="108" w:type="dxa"/>
          </w:tblCellMar>
        </w:tblPrEx>
        <w:trPr>
          <w:trHeight w:val="462" w:hRule="atLeast"/>
        </w:trPr>
        <w:tc>
          <w:tcPr>
            <w:tcW w:w="4569" w:type="dxa"/>
            <w:tcBorders>
              <w:top w:val="single" w:color="000000" w:sz="12" w:space="0"/>
              <w:left w:val="nil"/>
              <w:bottom w:val="single" w:color="auto" w:sz="4" w:space="0"/>
              <w:right w:val="single" w:color="000000"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color w:val="auto"/>
                <w:sz w:val="24"/>
                <w:highlight w:val="none"/>
              </w:rPr>
            </w:pPr>
            <w:r>
              <w:rPr>
                <w:rFonts w:ascii="Times New Roman" w:hAnsi="Times New Roman" w:cs="Times New Roman"/>
                <w:b/>
                <w:bCs/>
                <w:color w:val="auto"/>
                <w:sz w:val="24"/>
                <w:highlight w:val="none"/>
              </w:rPr>
              <w:t>指标</w:t>
            </w:r>
          </w:p>
        </w:tc>
        <w:tc>
          <w:tcPr>
            <w:tcW w:w="3990" w:type="dxa"/>
            <w:tcBorders>
              <w:top w:val="single" w:color="000000" w:sz="12" w:space="0"/>
              <w:left w:val="single" w:color="000000" w:sz="4" w:space="0"/>
              <w:bottom w:val="single" w:color="auto" w:sz="4" w:space="0"/>
              <w:right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color w:val="auto"/>
                <w:sz w:val="24"/>
                <w:highlight w:val="none"/>
              </w:rPr>
            </w:pPr>
            <w:r>
              <w:rPr>
                <w:rFonts w:ascii="Times New Roman" w:hAnsi="Times New Roman" w:cs="Times New Roman"/>
                <w:b/>
                <w:bCs/>
                <w:color w:val="auto"/>
                <w:sz w:val="24"/>
                <w:highlight w:val="none"/>
              </w:rPr>
              <w:t>比上年增长（%）</w:t>
            </w:r>
          </w:p>
        </w:tc>
      </w:tr>
      <w:tr>
        <w:tblPrEx>
          <w:tblCellMar>
            <w:top w:w="0" w:type="dxa"/>
            <w:left w:w="108" w:type="dxa"/>
            <w:bottom w:w="0" w:type="dxa"/>
            <w:right w:w="108" w:type="dxa"/>
          </w:tblCellMar>
        </w:tblPrEx>
        <w:trPr>
          <w:trHeight w:val="369" w:hRule="atLeast"/>
        </w:trPr>
        <w:tc>
          <w:tcPr>
            <w:tcW w:w="4569" w:type="dxa"/>
            <w:tcBorders>
              <w:top w:val="single" w:color="auto" w:sz="4" w:space="0"/>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规模以上工业增加值</w:t>
            </w:r>
          </w:p>
        </w:tc>
        <w:tc>
          <w:tcPr>
            <w:tcW w:w="3990" w:type="dxa"/>
            <w:tcBorders>
              <w:top w:val="single" w:color="auto" w:sz="4" w:space="0"/>
              <w:left w:val="single" w:color="auto" w:sz="4" w:space="0"/>
              <w:bottom w:val="nil"/>
              <w:right w:val="nil"/>
            </w:tcBorders>
            <w:vAlign w:val="center"/>
          </w:tcPr>
          <w:p>
            <w:pPr>
              <w:pStyle w:val="26"/>
              <w:spacing w:beforeAutospacing="0" w:afterAutospacing="0"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sz w:val="20"/>
                <w:szCs w:val="20"/>
              </w:rPr>
              <w:t xml:space="preserve">7.6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hint="eastAsia" w:ascii="Times New Roman" w:hAnsi="Times New Roman" w:eastAsia="宋体" w:cs="宋体"/>
                <w:color w:val="auto"/>
                <w:sz w:val="20"/>
                <w:szCs w:val="20"/>
                <w:highlight w:val="none"/>
                <w:lang w:eastAsia="zh-CN"/>
              </w:rPr>
            </w:pPr>
            <w:r>
              <w:rPr>
                <w:rFonts w:hint="eastAsia" w:ascii="Times New Roman" w:hAnsi="Times New Roman" w:cs="宋体"/>
                <w:color w:val="auto"/>
                <w:sz w:val="20"/>
                <w:szCs w:val="20"/>
                <w:highlight w:val="none"/>
              </w:rPr>
              <w:t xml:space="preserve">在总计中：  </w:t>
            </w:r>
            <w:r>
              <w:rPr>
                <w:rFonts w:hint="eastAsia" w:ascii="Times New Roman" w:hAnsi="Times New Roman" w:cs="宋体"/>
                <w:color w:val="auto"/>
                <w:sz w:val="20"/>
                <w:szCs w:val="20"/>
                <w:highlight w:val="none"/>
                <w:lang w:eastAsia="zh-CN"/>
              </w:rPr>
              <w:t>轻工业</w:t>
            </w:r>
          </w:p>
        </w:tc>
        <w:tc>
          <w:tcPr>
            <w:tcW w:w="3990" w:type="dxa"/>
            <w:tcBorders>
              <w:top w:val="nil"/>
              <w:left w:val="single" w:color="auto" w:sz="4" w:space="0"/>
              <w:bottom w:val="nil"/>
              <w:right w:val="nil"/>
            </w:tcBorders>
            <w:vAlign w:val="center"/>
          </w:tcPr>
          <w:p>
            <w:pPr>
              <w:pStyle w:val="26"/>
              <w:spacing w:beforeAutospacing="0" w:afterAutospacing="0"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sz w:val="20"/>
                <w:szCs w:val="20"/>
              </w:rPr>
              <w:t xml:space="preserve">11.4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重工业</w:t>
            </w:r>
          </w:p>
        </w:tc>
        <w:tc>
          <w:tcPr>
            <w:tcW w:w="3990" w:type="dxa"/>
            <w:tcBorders>
              <w:top w:val="nil"/>
              <w:left w:val="single" w:color="auto" w:sz="4" w:space="0"/>
              <w:bottom w:val="nil"/>
              <w:right w:val="nil"/>
            </w:tcBorders>
            <w:vAlign w:val="center"/>
          </w:tcPr>
          <w:p>
            <w:pPr>
              <w:pStyle w:val="26"/>
              <w:spacing w:beforeAutospacing="0" w:afterAutospacing="0"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sz w:val="20"/>
                <w:szCs w:val="20"/>
              </w:rPr>
              <w:t xml:space="preserve">2.9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在总计中：  国有企业</w:t>
            </w:r>
          </w:p>
        </w:tc>
        <w:tc>
          <w:tcPr>
            <w:tcW w:w="3990" w:type="dxa"/>
            <w:tcBorders>
              <w:top w:val="nil"/>
              <w:left w:val="single" w:color="auto" w:sz="4" w:space="0"/>
              <w:bottom w:val="nil"/>
              <w:right w:val="nil"/>
            </w:tcBorders>
            <w:vAlign w:val="center"/>
          </w:tcPr>
          <w:p>
            <w:pPr>
              <w:spacing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kern w:val="0"/>
                <w:sz w:val="20"/>
                <w:szCs w:val="20"/>
              </w:rPr>
              <w:t xml:space="preserve">-9.3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集体企业</w:t>
            </w:r>
          </w:p>
        </w:tc>
        <w:tc>
          <w:tcPr>
            <w:tcW w:w="3990" w:type="dxa"/>
            <w:tcBorders>
              <w:top w:val="nil"/>
              <w:left w:val="single" w:color="auto" w:sz="4" w:space="0"/>
              <w:bottom w:val="nil"/>
              <w:right w:val="nil"/>
            </w:tcBorders>
            <w:vAlign w:val="center"/>
          </w:tcPr>
          <w:p>
            <w:pPr>
              <w:spacing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kern w:val="0"/>
                <w:sz w:val="20"/>
                <w:szCs w:val="20"/>
              </w:rPr>
              <w:t xml:space="preserve">42.6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股份制企业</w:t>
            </w:r>
          </w:p>
        </w:tc>
        <w:tc>
          <w:tcPr>
            <w:tcW w:w="3990" w:type="dxa"/>
            <w:tcBorders>
              <w:top w:val="nil"/>
              <w:left w:val="single" w:color="auto" w:sz="4" w:space="0"/>
              <w:bottom w:val="nil"/>
              <w:right w:val="nil"/>
            </w:tcBorders>
            <w:vAlign w:val="center"/>
          </w:tcPr>
          <w:p>
            <w:pPr>
              <w:spacing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kern w:val="0"/>
                <w:sz w:val="20"/>
                <w:szCs w:val="20"/>
              </w:rPr>
              <w:t xml:space="preserve">6.6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外商和港澳台商投资企业</w:t>
            </w:r>
          </w:p>
        </w:tc>
        <w:tc>
          <w:tcPr>
            <w:tcW w:w="3990" w:type="dxa"/>
            <w:tcBorders>
              <w:top w:val="nil"/>
              <w:left w:val="single" w:color="auto" w:sz="4" w:space="0"/>
              <w:bottom w:val="nil"/>
              <w:right w:val="nil"/>
            </w:tcBorders>
            <w:vAlign w:val="center"/>
          </w:tcPr>
          <w:p>
            <w:pPr>
              <w:spacing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kern w:val="0"/>
                <w:sz w:val="20"/>
                <w:szCs w:val="20"/>
              </w:rPr>
              <w:t xml:space="preserve">32.0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其他</w:t>
            </w:r>
          </w:p>
        </w:tc>
        <w:tc>
          <w:tcPr>
            <w:tcW w:w="3990" w:type="dxa"/>
            <w:tcBorders>
              <w:top w:val="nil"/>
              <w:left w:val="single" w:color="auto" w:sz="4" w:space="0"/>
              <w:bottom w:val="nil"/>
              <w:right w:val="nil"/>
            </w:tcBorders>
            <w:vAlign w:val="center"/>
          </w:tcPr>
          <w:p>
            <w:pPr>
              <w:spacing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kern w:val="0"/>
                <w:sz w:val="20"/>
                <w:szCs w:val="20"/>
              </w:rPr>
              <w:t xml:space="preserve">-23.9 </w:t>
            </w:r>
          </w:p>
        </w:tc>
      </w:tr>
      <w:tr>
        <w:tblPrEx>
          <w:tblCellMar>
            <w:top w:w="0" w:type="dxa"/>
            <w:left w:w="108" w:type="dxa"/>
            <w:bottom w:w="0" w:type="dxa"/>
            <w:right w:w="108" w:type="dxa"/>
          </w:tblCellMar>
        </w:tblPrEx>
        <w:trPr>
          <w:trHeight w:val="369" w:hRule="atLeast"/>
        </w:trPr>
        <w:tc>
          <w:tcPr>
            <w:tcW w:w="4569" w:type="dxa"/>
            <w:tcBorders>
              <w:top w:val="nil"/>
              <w:left w:val="nil"/>
              <w:bottom w:val="nil"/>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在总计中：  公有制</w:t>
            </w:r>
          </w:p>
        </w:tc>
        <w:tc>
          <w:tcPr>
            <w:tcW w:w="3990" w:type="dxa"/>
            <w:tcBorders>
              <w:top w:val="nil"/>
              <w:left w:val="single" w:color="auto" w:sz="4" w:space="0"/>
              <w:bottom w:val="nil"/>
              <w:right w:val="nil"/>
            </w:tcBorders>
            <w:vAlign w:val="center"/>
          </w:tcPr>
          <w:p>
            <w:pPr>
              <w:pStyle w:val="26"/>
              <w:spacing w:beforeAutospacing="0" w:afterAutospacing="0"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sz w:val="20"/>
                <w:szCs w:val="20"/>
              </w:rPr>
              <w:t xml:space="preserve">5.0 </w:t>
            </w:r>
          </w:p>
        </w:tc>
      </w:tr>
      <w:tr>
        <w:tblPrEx>
          <w:tblCellMar>
            <w:top w:w="0" w:type="dxa"/>
            <w:left w:w="108" w:type="dxa"/>
            <w:bottom w:w="0" w:type="dxa"/>
            <w:right w:w="108" w:type="dxa"/>
          </w:tblCellMar>
        </w:tblPrEx>
        <w:trPr>
          <w:trHeight w:val="369" w:hRule="atLeast"/>
        </w:trPr>
        <w:tc>
          <w:tcPr>
            <w:tcW w:w="4569" w:type="dxa"/>
            <w:tcBorders>
              <w:top w:val="nil"/>
              <w:left w:val="nil"/>
              <w:bottom w:val="single" w:color="000000" w:sz="12" w:space="0"/>
              <w:right w:val="single" w:color="auto" w:sz="4" w:space="0"/>
            </w:tcBorders>
            <w:vAlign w:val="center"/>
          </w:tcPr>
          <w:p>
            <w:pPr>
              <w:pStyle w:val="26"/>
              <w:keepNext w:val="0"/>
              <w:keepLines w:val="0"/>
              <w:pageBreakBefore w:val="0"/>
              <w:widowControl w:val="0"/>
              <w:kinsoku/>
              <w:wordWrap/>
              <w:overflowPunct/>
              <w:topLinePunct w:val="0"/>
              <w:autoSpaceDE/>
              <w:autoSpaceDN/>
              <w:bidi w:val="0"/>
              <w:adjustRightInd/>
              <w:snapToGrid/>
              <w:spacing w:beforeAutospacing="0" w:afterAutospacing="0" w:line="360" w:lineRule="exact"/>
              <w:ind w:firstLine="645"/>
              <w:jc w:val="both"/>
              <w:textAlignment w:val="auto"/>
              <w:rPr>
                <w:rFonts w:ascii="Times New Roman" w:hAnsi="Times New Roman" w:cs="宋体"/>
                <w:color w:val="auto"/>
                <w:sz w:val="20"/>
                <w:szCs w:val="20"/>
                <w:highlight w:val="none"/>
              </w:rPr>
            </w:pPr>
            <w:r>
              <w:rPr>
                <w:rFonts w:hint="eastAsia" w:ascii="Times New Roman" w:hAnsi="Times New Roman" w:cs="宋体"/>
                <w:color w:val="auto"/>
                <w:sz w:val="20"/>
                <w:szCs w:val="20"/>
                <w:highlight w:val="none"/>
              </w:rPr>
              <w:t xml:space="preserve">            非公有制</w:t>
            </w:r>
          </w:p>
        </w:tc>
        <w:tc>
          <w:tcPr>
            <w:tcW w:w="3990" w:type="dxa"/>
            <w:tcBorders>
              <w:top w:val="nil"/>
              <w:left w:val="single" w:color="auto" w:sz="4" w:space="0"/>
              <w:bottom w:val="single" w:color="000000" w:sz="12" w:space="0"/>
              <w:right w:val="nil"/>
            </w:tcBorders>
            <w:vAlign w:val="center"/>
          </w:tcPr>
          <w:p>
            <w:pPr>
              <w:pStyle w:val="26"/>
              <w:spacing w:beforeAutospacing="0" w:afterAutospacing="0" w:line="360" w:lineRule="exact"/>
              <w:ind w:right="1575" w:rightChars="750"/>
              <w:jc w:val="right"/>
              <w:rPr>
                <w:rFonts w:hint="eastAsia" w:ascii="Times New Roman" w:hAnsi="Times New Roman" w:eastAsia="宋体" w:cs="宋体"/>
                <w:color w:val="0000FF"/>
                <w:sz w:val="20"/>
                <w:szCs w:val="20"/>
                <w:highlight w:val="none"/>
                <w:lang w:val="en-US" w:eastAsia="zh-CN"/>
              </w:rPr>
            </w:pPr>
            <w:r>
              <w:rPr>
                <w:rFonts w:hint="eastAsia" w:ascii="Times New Roman" w:hAnsi="Times New Roman" w:cs="宋体"/>
                <w:sz w:val="20"/>
                <w:szCs w:val="20"/>
              </w:rPr>
              <w:t xml:space="preserve">7.9 </w:t>
            </w:r>
          </w:p>
        </w:tc>
      </w:tr>
    </w:tbl>
    <w:p>
      <w:pPr>
        <w:spacing w:line="560" w:lineRule="exact"/>
        <w:jc w:val="center"/>
        <w:rPr>
          <w:rStyle w:val="16"/>
          <w:rFonts w:hint="eastAsia" w:ascii="Times New Roman" w:hAnsi="Times New Roman"/>
          <w:sz w:val="24"/>
        </w:rPr>
      </w:pPr>
      <w:r>
        <w:rPr>
          <w:rStyle w:val="16"/>
          <w:rFonts w:ascii="Times New Roman" w:hAnsi="Times New Roman"/>
          <w:sz w:val="24"/>
        </w:rPr>
        <w:t>表</w:t>
      </w:r>
      <w:r>
        <w:rPr>
          <w:rStyle w:val="16"/>
          <w:rFonts w:hint="eastAsia" w:ascii="Times New Roman" w:hAnsi="Times New Roman"/>
          <w:sz w:val="24"/>
        </w:rPr>
        <w:t>5  2025</w:t>
      </w:r>
      <w:r>
        <w:rPr>
          <w:rStyle w:val="16"/>
          <w:rFonts w:ascii="Times New Roman" w:hAnsi="Times New Roman"/>
          <w:sz w:val="24"/>
        </w:rPr>
        <w:t>年</w:t>
      </w:r>
      <w:r>
        <w:rPr>
          <w:rStyle w:val="16"/>
          <w:rFonts w:hint="eastAsia" w:ascii="Times New Roman" w:hAnsi="Times New Roman"/>
          <w:sz w:val="24"/>
        </w:rPr>
        <w:t>周口市</w:t>
      </w:r>
      <w:r>
        <w:rPr>
          <w:rStyle w:val="16"/>
          <w:rFonts w:ascii="Times New Roman" w:hAnsi="Times New Roman"/>
          <w:sz w:val="24"/>
        </w:rPr>
        <w:t>规模以上工业主要产品产量</w:t>
      </w:r>
      <w:r>
        <w:rPr>
          <w:rStyle w:val="16"/>
          <w:rFonts w:hint="eastAsia" w:ascii="Times New Roman" w:hAnsi="Times New Roman"/>
          <w:sz w:val="24"/>
        </w:rPr>
        <w:t>及其增长速度</w:t>
      </w:r>
    </w:p>
    <w:tbl>
      <w:tblPr>
        <w:tblStyle w:val="13"/>
        <w:tblW w:w="8529" w:type="dxa"/>
        <w:jc w:val="center"/>
        <w:tblLayout w:type="fixed"/>
        <w:tblCellMar>
          <w:top w:w="0" w:type="dxa"/>
          <w:left w:w="0" w:type="dxa"/>
          <w:bottom w:w="0" w:type="dxa"/>
          <w:right w:w="0" w:type="dxa"/>
        </w:tblCellMar>
      </w:tblPr>
      <w:tblGrid>
        <w:gridCol w:w="3117"/>
        <w:gridCol w:w="1568"/>
        <w:gridCol w:w="1584"/>
        <w:gridCol w:w="2260"/>
      </w:tblGrid>
      <w:tr>
        <w:tblPrEx>
          <w:tblCellMar>
            <w:top w:w="0" w:type="dxa"/>
            <w:left w:w="0" w:type="dxa"/>
            <w:bottom w:w="0" w:type="dxa"/>
            <w:right w:w="0" w:type="dxa"/>
          </w:tblCellMar>
        </w:tblPrEx>
        <w:trPr>
          <w:trHeight w:val="444" w:hRule="atLeast"/>
          <w:jc w:val="center"/>
        </w:trPr>
        <w:tc>
          <w:tcPr>
            <w:tcW w:w="3117" w:type="dxa"/>
            <w:tcBorders>
              <w:top w:val="single" w:color="000000" w:sz="12" w:space="0"/>
              <w:left w:val="nil"/>
              <w:bottom w:val="single" w:color="auto" w:sz="4" w:space="0"/>
              <w:right w:val="single" w:color="000000" w:sz="4" w:space="0"/>
            </w:tcBorders>
            <w:noWrap w:val="0"/>
            <w:tcMar>
              <w:top w:w="15" w:type="dxa"/>
              <w:left w:w="15" w:type="dxa"/>
              <w:right w:w="15" w:type="dxa"/>
            </w:tcMar>
            <w:vAlign w:val="center"/>
          </w:tcPr>
          <w:p>
            <w:pPr>
              <w:spacing w:line="360" w:lineRule="exact"/>
              <w:jc w:val="center"/>
              <w:rPr>
                <w:rFonts w:ascii="Times New Roman" w:hAnsi="Times New Roman" w:cs="Times New Roman"/>
                <w:b/>
                <w:bCs/>
                <w:sz w:val="24"/>
              </w:rPr>
            </w:pPr>
            <w:r>
              <w:rPr>
                <w:rFonts w:hint="eastAsia" w:ascii="Times New Roman" w:hAnsi="Times New Roman" w:cs="Times New Roman"/>
                <w:b/>
                <w:bCs/>
                <w:sz w:val="24"/>
              </w:rPr>
              <w:t>产品名称</w:t>
            </w:r>
          </w:p>
        </w:tc>
        <w:tc>
          <w:tcPr>
            <w:tcW w:w="1568" w:type="dxa"/>
            <w:tcBorders>
              <w:top w:val="single" w:color="000000" w:sz="12" w:space="0"/>
              <w:left w:val="single" w:color="000000" w:sz="4" w:space="0"/>
              <w:bottom w:val="single" w:color="000000" w:sz="4" w:space="0"/>
              <w:right w:val="single" w:color="000000" w:sz="4" w:space="0"/>
            </w:tcBorders>
            <w:noWrap w:val="0"/>
            <w:vAlign w:val="center"/>
          </w:tcPr>
          <w:p>
            <w:pPr>
              <w:spacing w:line="360" w:lineRule="exact"/>
              <w:jc w:val="center"/>
              <w:rPr>
                <w:rFonts w:ascii="Times New Roman" w:hAnsi="Times New Roman" w:cs="Times New Roman"/>
                <w:b/>
                <w:bCs/>
                <w:sz w:val="24"/>
              </w:rPr>
            </w:pPr>
            <w:r>
              <w:rPr>
                <w:rFonts w:hint="eastAsia" w:ascii="Times New Roman" w:hAnsi="Times New Roman" w:cs="Times New Roman"/>
                <w:b/>
                <w:bCs/>
                <w:sz w:val="24"/>
              </w:rPr>
              <w:t>单位</w:t>
            </w:r>
          </w:p>
        </w:tc>
        <w:tc>
          <w:tcPr>
            <w:tcW w:w="1584" w:type="dxa"/>
            <w:tcBorders>
              <w:top w:val="single" w:color="000000" w:sz="12" w:space="0"/>
              <w:left w:val="single" w:color="000000" w:sz="4" w:space="0"/>
              <w:bottom w:val="single" w:color="000000" w:sz="4" w:space="0"/>
              <w:right w:val="single" w:color="000000" w:sz="4" w:space="0"/>
            </w:tcBorders>
            <w:noWrap w:val="0"/>
            <w:vAlign w:val="center"/>
          </w:tcPr>
          <w:p>
            <w:pPr>
              <w:spacing w:line="360" w:lineRule="exact"/>
              <w:jc w:val="center"/>
              <w:rPr>
                <w:rFonts w:ascii="Times New Roman" w:hAnsi="Times New Roman" w:cs="Times New Roman"/>
                <w:b/>
                <w:bCs/>
                <w:sz w:val="24"/>
              </w:rPr>
            </w:pPr>
            <w:r>
              <w:rPr>
                <w:rFonts w:hint="eastAsia" w:ascii="Times New Roman" w:hAnsi="Times New Roman" w:cs="Times New Roman"/>
                <w:b/>
                <w:bCs/>
                <w:sz w:val="24"/>
              </w:rPr>
              <w:t>产  量</w:t>
            </w:r>
          </w:p>
        </w:tc>
        <w:tc>
          <w:tcPr>
            <w:tcW w:w="2260" w:type="dxa"/>
            <w:tcBorders>
              <w:top w:val="single" w:color="000000" w:sz="12" w:space="0"/>
              <w:left w:val="single" w:color="000000" w:sz="4" w:space="0"/>
              <w:bottom w:val="single" w:color="auto" w:sz="4" w:space="0"/>
              <w:right w:val="nil"/>
            </w:tcBorders>
            <w:noWrap w:val="0"/>
            <w:vAlign w:val="center"/>
          </w:tcPr>
          <w:p>
            <w:pPr>
              <w:spacing w:line="360" w:lineRule="exact"/>
              <w:jc w:val="center"/>
              <w:rPr>
                <w:rFonts w:ascii="Times New Roman" w:hAnsi="Times New Roman" w:cs="Times New Roman"/>
                <w:b/>
                <w:bCs/>
                <w:sz w:val="24"/>
              </w:rPr>
            </w:pPr>
            <w:r>
              <w:rPr>
                <w:rFonts w:hint="eastAsia" w:ascii="Times New Roman" w:hAnsi="Times New Roman" w:cs="Times New Roman"/>
                <w:b/>
                <w:bCs/>
                <w:sz w:val="24"/>
              </w:rPr>
              <w:t>比上年增长（%）</w:t>
            </w:r>
          </w:p>
        </w:tc>
      </w:tr>
      <w:tr>
        <w:tblPrEx>
          <w:tblCellMar>
            <w:top w:w="0" w:type="dxa"/>
            <w:left w:w="0" w:type="dxa"/>
            <w:bottom w:w="0" w:type="dxa"/>
            <w:right w:w="0" w:type="dxa"/>
          </w:tblCellMar>
        </w:tblPrEx>
        <w:trPr>
          <w:trHeight w:val="255" w:hRule="atLeast"/>
          <w:jc w:val="center"/>
        </w:trPr>
        <w:tc>
          <w:tcPr>
            <w:tcW w:w="3117" w:type="dxa"/>
            <w:tcBorders>
              <w:top w:val="single" w:color="auto" w:sz="4" w:space="0"/>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饲料</w:t>
            </w:r>
          </w:p>
        </w:tc>
        <w:tc>
          <w:tcPr>
            <w:tcW w:w="1568" w:type="dxa"/>
            <w:tcBorders>
              <w:top w:val="single" w:color="000000" w:sz="4" w:space="0"/>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single" w:color="000000" w:sz="4" w:space="0"/>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ascii="Times New Roman" w:hAnsi="Times New Roman" w:cs="宋体"/>
                <w:sz w:val="20"/>
                <w:szCs w:val="20"/>
              </w:rPr>
            </w:pPr>
            <w:r>
              <w:rPr>
                <w:rFonts w:hint="eastAsia" w:ascii="Times New Roman" w:hAnsi="Times New Roman"/>
                <w:sz w:val="20"/>
                <w:szCs w:val="20"/>
              </w:rPr>
              <w:t xml:space="preserve">100.45 </w:t>
            </w:r>
          </w:p>
        </w:tc>
        <w:tc>
          <w:tcPr>
            <w:tcW w:w="2260" w:type="dxa"/>
            <w:tcBorders>
              <w:top w:val="single" w:color="auto" w:sz="4" w:space="0"/>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14.5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食品添加剂</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ascii="Times New Roman" w:hAnsi="Times New Roman" w:cs="宋体"/>
                <w:sz w:val="20"/>
                <w:szCs w:val="20"/>
              </w:rPr>
            </w:pPr>
            <w:r>
              <w:rPr>
                <w:rFonts w:hint="eastAsia" w:ascii="Times New Roman" w:hAnsi="Times New Roman"/>
                <w:sz w:val="20"/>
                <w:szCs w:val="20"/>
              </w:rPr>
              <w:t>18.11</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5.1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精制食用植物油</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hint="eastAsia" w:ascii="Times New Roman" w:hAnsi="Times New Roman"/>
                <w:sz w:val="20"/>
                <w:szCs w:val="20"/>
              </w:rPr>
              <w:t xml:space="preserve">46.41 </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23.8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糖果</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hint="eastAsia" w:ascii="Times New Roman" w:hAnsi="Times New Roman"/>
                <w:sz w:val="20"/>
                <w:szCs w:val="20"/>
              </w:rPr>
              <w:t xml:space="preserve">5.38 </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21.0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饮料</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hint="eastAsia" w:ascii="Times New Roman" w:hAnsi="Times New Roman"/>
                <w:sz w:val="20"/>
                <w:szCs w:val="20"/>
              </w:rPr>
              <w:t xml:space="preserve">18.76 </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21.6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服装</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hint="eastAsia" w:ascii="Times New Roman" w:hAnsi="Times New Roman" w:cs="宋体"/>
                <w:sz w:val="20"/>
                <w:szCs w:val="20"/>
              </w:rPr>
            </w:pPr>
            <w:r>
              <w:rPr>
                <w:rFonts w:hint="eastAsia" w:ascii="Times New Roman" w:hAnsi="Times New Roman" w:cs="宋体"/>
                <w:sz w:val="20"/>
                <w:szCs w:val="20"/>
              </w:rPr>
              <w:t>万件</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ascii="Times New Roman" w:hAnsi="Times New Roman"/>
                <w:sz w:val="20"/>
                <w:szCs w:val="20"/>
              </w:rPr>
              <w:t>9252</w:t>
            </w:r>
            <w:r>
              <w:rPr>
                <w:rFonts w:hint="eastAsia" w:ascii="Times New Roman" w:hAnsi="Times New Roman"/>
                <w:sz w:val="20"/>
                <w:szCs w:val="20"/>
              </w:rPr>
              <w:t xml:space="preserve"> </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ascii="Times New Roman" w:hAnsi="Times New Roman"/>
                <w:sz w:val="20"/>
                <w:szCs w:val="20"/>
              </w:rPr>
              <w:t>21.9</w:t>
            </w:r>
            <w:r>
              <w:rPr>
                <w:rFonts w:hint="eastAsia" w:ascii="Times New Roman" w:hAnsi="Times New Roman"/>
                <w:sz w:val="20"/>
                <w:szCs w:val="20"/>
              </w:rPr>
              <w:t xml:space="preserve">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轻革</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hint="eastAsia" w:ascii="Times New Roman" w:hAnsi="Times New Roman" w:cs="宋体"/>
                <w:sz w:val="20"/>
                <w:szCs w:val="20"/>
              </w:rPr>
            </w:pPr>
            <w:r>
              <w:rPr>
                <w:rFonts w:hint="eastAsia" w:ascii="Times New Roman" w:hAnsi="Times New Roman" w:cs="宋体"/>
                <w:sz w:val="20"/>
                <w:szCs w:val="20"/>
              </w:rPr>
              <w:t>万平方米</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ascii="Times New Roman" w:hAnsi="Times New Roman" w:cs="宋体"/>
                <w:sz w:val="20"/>
                <w:szCs w:val="20"/>
              </w:rPr>
            </w:pPr>
            <w:r>
              <w:rPr>
                <w:rFonts w:ascii="Times New Roman" w:hAnsi="Times New Roman"/>
                <w:sz w:val="20"/>
                <w:szCs w:val="20"/>
              </w:rPr>
              <w:t>1353.96</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ascii="Times New Roman" w:hAnsi="Times New Roman"/>
                <w:sz w:val="20"/>
                <w:szCs w:val="20"/>
              </w:rPr>
              <w:t>2</w:t>
            </w:r>
            <w:r>
              <w:rPr>
                <w:rFonts w:hint="eastAsia" w:ascii="Times New Roman" w:hAnsi="Times New Roman"/>
                <w:sz w:val="20"/>
                <w:szCs w:val="20"/>
              </w:rPr>
              <w:t xml:space="preserve">.8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纸制品</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ascii="Times New Roman" w:hAnsi="Times New Roman" w:cs="宋体"/>
                <w:sz w:val="20"/>
                <w:szCs w:val="20"/>
              </w:rPr>
            </w:pPr>
            <w:r>
              <w:rPr>
                <w:rFonts w:hint="eastAsia" w:ascii="Times New Roman" w:hAnsi="Times New Roman"/>
                <w:sz w:val="20"/>
                <w:szCs w:val="20"/>
              </w:rPr>
              <w:t>135.60</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hint="eastAsia" w:ascii="Times New Roman" w:hAnsi="Times New Roman" w:cs="宋体"/>
                <w:color w:val="0000FF"/>
                <w:sz w:val="20"/>
                <w:szCs w:val="20"/>
              </w:rPr>
            </w:pPr>
            <w:r>
              <w:rPr>
                <w:rFonts w:hint="eastAsia" w:ascii="Times New Roman" w:hAnsi="Times New Roman"/>
                <w:sz w:val="20"/>
                <w:szCs w:val="20"/>
              </w:rPr>
              <w:t xml:space="preserve">39.3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塑料制品</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ascii="Times New Roman" w:hAnsi="Times New Roman"/>
                <w:sz w:val="20"/>
                <w:szCs w:val="20"/>
              </w:rPr>
              <w:t>25.34</w:t>
            </w:r>
            <w:r>
              <w:rPr>
                <w:rFonts w:hint="eastAsia" w:ascii="Times New Roman" w:hAnsi="Times New Roman"/>
                <w:sz w:val="20"/>
                <w:szCs w:val="20"/>
              </w:rPr>
              <w:t xml:space="preserve"> </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ascii="Times New Roman" w:hAnsi="Times New Roman"/>
                <w:sz w:val="20"/>
                <w:szCs w:val="20"/>
              </w:rPr>
              <w:t>24.0</w:t>
            </w:r>
            <w:r>
              <w:rPr>
                <w:rFonts w:hint="eastAsia" w:ascii="Times New Roman" w:hAnsi="Times New Roman"/>
                <w:sz w:val="20"/>
                <w:szCs w:val="20"/>
              </w:rPr>
              <w:t xml:space="preserve"> </w:t>
            </w:r>
            <w:r>
              <w:rPr>
                <w:rFonts w:ascii="Times New Roman" w:hAnsi="Times New Roman"/>
                <w:sz w:val="20"/>
                <w:szCs w:val="20"/>
              </w:rPr>
              <w:t xml:space="preserve">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商品混凝土</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万立方米</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ascii="Times New Roman" w:hAnsi="Times New Roman" w:cs="宋体"/>
                <w:sz w:val="20"/>
                <w:szCs w:val="20"/>
              </w:rPr>
            </w:pPr>
            <w:r>
              <w:rPr>
                <w:rFonts w:hint="eastAsia" w:ascii="Times New Roman" w:hAnsi="Times New Roman"/>
                <w:sz w:val="20"/>
                <w:szCs w:val="20"/>
              </w:rPr>
              <w:t>662.29</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hint="eastAsia" w:ascii="Times New Roman" w:hAnsi="Times New Roman" w:cs="宋体"/>
                <w:color w:val="0000FF"/>
                <w:sz w:val="20"/>
                <w:szCs w:val="20"/>
              </w:rPr>
            </w:pPr>
            <w:r>
              <w:rPr>
                <w:rFonts w:hint="eastAsia" w:ascii="Times New Roman" w:hAnsi="Times New Roman"/>
                <w:sz w:val="20"/>
                <w:szCs w:val="20"/>
              </w:rPr>
              <w:t xml:space="preserve">-0.8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nil"/>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金属门窗及类似制品</w:t>
            </w:r>
          </w:p>
        </w:tc>
        <w:tc>
          <w:tcPr>
            <w:tcW w:w="1568" w:type="dxa"/>
            <w:tcBorders>
              <w:top w:val="nil"/>
              <w:left w:val="single" w:color="auto" w:sz="4" w:space="0"/>
              <w:bottom w:val="nil"/>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万吨</w:t>
            </w:r>
          </w:p>
        </w:tc>
        <w:tc>
          <w:tcPr>
            <w:tcW w:w="1584" w:type="dxa"/>
            <w:tcBorders>
              <w:top w:val="nil"/>
              <w:left w:val="single" w:color="auto" w:sz="4" w:space="0"/>
              <w:bottom w:val="nil"/>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hint="eastAsia" w:ascii="Times New Roman" w:hAnsi="Times New Roman"/>
                <w:sz w:val="20"/>
                <w:szCs w:val="20"/>
              </w:rPr>
              <w:t>2.</w:t>
            </w:r>
            <w:r>
              <w:rPr>
                <w:rFonts w:ascii="Times New Roman" w:hAnsi="Times New Roman"/>
                <w:sz w:val="20"/>
                <w:szCs w:val="20"/>
              </w:rPr>
              <w:t>19</w:t>
            </w:r>
          </w:p>
        </w:tc>
        <w:tc>
          <w:tcPr>
            <w:tcW w:w="2260" w:type="dxa"/>
            <w:tcBorders>
              <w:top w:val="nil"/>
              <w:left w:val="single" w:color="auto" w:sz="4" w:space="0"/>
              <w:bottom w:val="nil"/>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ascii="Times New Roman" w:hAnsi="Times New Roman"/>
                <w:sz w:val="20"/>
                <w:szCs w:val="20"/>
              </w:rPr>
              <w:t xml:space="preserve">5.8 </w:t>
            </w:r>
          </w:p>
        </w:tc>
      </w:tr>
      <w:tr>
        <w:tblPrEx>
          <w:tblCellMar>
            <w:top w:w="0" w:type="dxa"/>
            <w:left w:w="0" w:type="dxa"/>
            <w:bottom w:w="0" w:type="dxa"/>
            <w:right w:w="0" w:type="dxa"/>
          </w:tblCellMar>
        </w:tblPrEx>
        <w:trPr>
          <w:trHeight w:val="255" w:hRule="atLeast"/>
          <w:jc w:val="center"/>
        </w:trPr>
        <w:tc>
          <w:tcPr>
            <w:tcW w:w="3117" w:type="dxa"/>
            <w:tcBorders>
              <w:top w:val="nil"/>
              <w:left w:val="nil"/>
              <w:bottom w:val="single" w:color="000000" w:sz="12" w:space="0"/>
              <w:right w:val="single" w:color="auto" w:sz="4" w:space="0"/>
            </w:tcBorders>
            <w:noWrap w:val="0"/>
            <w:tcMar>
              <w:top w:w="15" w:type="dxa"/>
              <w:left w:w="15" w:type="dxa"/>
              <w:right w:w="15" w:type="dxa"/>
            </w:tcMar>
            <w:vAlign w:val="center"/>
          </w:tcPr>
          <w:p>
            <w:pPr>
              <w:pStyle w:val="26"/>
              <w:spacing w:beforeAutospacing="0" w:afterAutospacing="0" w:line="360" w:lineRule="exact"/>
              <w:ind w:left="420" w:leftChars="200"/>
              <w:jc w:val="both"/>
              <w:rPr>
                <w:rFonts w:ascii="Times New Roman" w:hAnsi="Times New Roman" w:cs="宋体"/>
                <w:sz w:val="20"/>
                <w:szCs w:val="20"/>
              </w:rPr>
            </w:pPr>
            <w:r>
              <w:rPr>
                <w:rFonts w:hint="eastAsia" w:ascii="Times New Roman" w:hAnsi="Times New Roman" w:cs="宋体"/>
                <w:sz w:val="20"/>
                <w:szCs w:val="20"/>
              </w:rPr>
              <w:t>工业锅炉</w:t>
            </w:r>
          </w:p>
        </w:tc>
        <w:tc>
          <w:tcPr>
            <w:tcW w:w="1568" w:type="dxa"/>
            <w:tcBorders>
              <w:top w:val="nil"/>
              <w:left w:val="single" w:color="auto" w:sz="4" w:space="0"/>
              <w:bottom w:val="single" w:color="000000" w:sz="12" w:space="0"/>
              <w:right w:val="single" w:color="auto" w:sz="4" w:space="0"/>
            </w:tcBorders>
            <w:noWrap w:val="0"/>
            <w:vAlign w:val="center"/>
          </w:tcPr>
          <w:p>
            <w:pPr>
              <w:pStyle w:val="26"/>
              <w:spacing w:beforeAutospacing="0" w:afterAutospacing="0" w:line="360" w:lineRule="exact"/>
              <w:jc w:val="center"/>
              <w:rPr>
                <w:rFonts w:ascii="Times New Roman" w:hAnsi="Times New Roman" w:cs="宋体"/>
                <w:sz w:val="20"/>
                <w:szCs w:val="20"/>
              </w:rPr>
            </w:pPr>
            <w:r>
              <w:rPr>
                <w:rFonts w:hint="eastAsia" w:ascii="Times New Roman" w:hAnsi="Times New Roman" w:cs="宋体"/>
                <w:sz w:val="20"/>
                <w:szCs w:val="20"/>
              </w:rPr>
              <w:t>万蒸发量吨</w:t>
            </w:r>
          </w:p>
        </w:tc>
        <w:tc>
          <w:tcPr>
            <w:tcW w:w="1584" w:type="dxa"/>
            <w:tcBorders>
              <w:top w:val="nil"/>
              <w:left w:val="single" w:color="auto" w:sz="4" w:space="0"/>
              <w:bottom w:val="single" w:color="000000" w:sz="12" w:space="0"/>
              <w:right w:val="single" w:color="auto" w:sz="4" w:space="0"/>
            </w:tcBorders>
            <w:noWrap w:val="0"/>
            <w:vAlign w:val="top"/>
          </w:tcPr>
          <w:p>
            <w:pPr>
              <w:pStyle w:val="26"/>
              <w:spacing w:beforeAutospacing="0" w:afterAutospacing="0" w:line="360" w:lineRule="exact"/>
              <w:ind w:right="420" w:rightChars="200"/>
              <w:jc w:val="right"/>
              <w:rPr>
                <w:rFonts w:hint="eastAsia" w:ascii="Times New Roman" w:hAnsi="Times New Roman" w:cs="宋体"/>
                <w:sz w:val="20"/>
                <w:szCs w:val="20"/>
              </w:rPr>
            </w:pPr>
            <w:r>
              <w:rPr>
                <w:rFonts w:hint="eastAsia" w:ascii="Times New Roman" w:hAnsi="Times New Roman"/>
                <w:sz w:val="20"/>
                <w:szCs w:val="20"/>
              </w:rPr>
              <w:t xml:space="preserve">1.82 </w:t>
            </w:r>
          </w:p>
        </w:tc>
        <w:tc>
          <w:tcPr>
            <w:tcW w:w="2260" w:type="dxa"/>
            <w:tcBorders>
              <w:top w:val="nil"/>
              <w:left w:val="single" w:color="auto" w:sz="4" w:space="0"/>
              <w:bottom w:val="single" w:color="000000" w:sz="12" w:space="0"/>
              <w:right w:val="nil"/>
            </w:tcBorders>
            <w:noWrap w:val="0"/>
            <w:vAlign w:val="top"/>
          </w:tcPr>
          <w:p>
            <w:pPr>
              <w:pStyle w:val="26"/>
              <w:spacing w:beforeAutospacing="0" w:afterAutospacing="0" w:line="360" w:lineRule="exact"/>
              <w:ind w:right="945" w:rightChars="450"/>
              <w:jc w:val="right"/>
              <w:rPr>
                <w:rFonts w:ascii="Times New Roman" w:hAnsi="Times New Roman" w:cs="宋体"/>
                <w:color w:val="0000FF"/>
                <w:sz w:val="20"/>
                <w:szCs w:val="20"/>
              </w:rPr>
            </w:pPr>
            <w:r>
              <w:rPr>
                <w:rFonts w:hint="eastAsia" w:ascii="Times New Roman" w:hAnsi="Times New Roman"/>
                <w:sz w:val="20"/>
                <w:szCs w:val="20"/>
              </w:rPr>
              <w:t xml:space="preserve">6.0 </w:t>
            </w:r>
            <w:r>
              <w:rPr>
                <w:rFonts w:ascii="Times New Roman" w:hAnsi="Times New Roman"/>
                <w:sz w:val="20"/>
                <w:szCs w:val="20"/>
              </w:rPr>
              <w:t xml:space="preserve"> </w:t>
            </w:r>
          </w:p>
        </w:tc>
      </w:tr>
    </w:tbl>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cs="Times New Roman"/>
          <w:kern w:val="0"/>
          <w:sz w:val="24"/>
          <w:lang w:val="zh-CN"/>
        </w:rPr>
      </w:pPr>
      <w:r>
        <w:rPr>
          <w:rFonts w:hint="eastAsia" w:ascii="Times New Roman" w:hAnsi="Times New Roman" w:cs="Times New Roman"/>
          <w:kern w:val="0"/>
          <w:sz w:val="24"/>
          <w:lang w:val="zh-CN"/>
        </w:rPr>
        <w:t>全年全市规模以上工业企业营业收入比上年增长</w:t>
      </w:r>
      <w:r>
        <w:rPr>
          <w:rFonts w:hint="eastAsia" w:ascii="Times New Roman" w:hAnsi="Times New Roman" w:cs="Times New Roman"/>
          <w:kern w:val="0"/>
          <w:sz w:val="24"/>
        </w:rPr>
        <w:t>3.1</w:t>
      </w:r>
      <w:r>
        <w:rPr>
          <w:rFonts w:hint="eastAsia" w:ascii="Times New Roman" w:hAnsi="Times New Roman" w:cs="Times New Roman"/>
          <w:kern w:val="0"/>
          <w:sz w:val="24"/>
          <w:lang w:val="zh-CN"/>
        </w:rPr>
        <w:t>%，利润总额比上年增长</w:t>
      </w:r>
      <w:r>
        <w:rPr>
          <w:rFonts w:hint="eastAsia" w:ascii="Times New Roman" w:hAnsi="Times New Roman" w:cs="Times New Roman"/>
          <w:kern w:val="0"/>
          <w:sz w:val="24"/>
        </w:rPr>
        <w:t>20.8</w:t>
      </w:r>
      <w:r>
        <w:rPr>
          <w:rFonts w:hint="eastAsia" w:ascii="Times New Roman" w:hAnsi="Times New Roman" w:cs="Times New Roman"/>
          <w:kern w:val="0"/>
          <w:sz w:val="24"/>
          <w:lang w:val="zh-CN"/>
        </w:rPr>
        <w:t>%。规模以上工业企业产品销售率</w:t>
      </w:r>
      <w:r>
        <w:rPr>
          <w:rFonts w:hint="eastAsia" w:ascii="Times New Roman" w:hAnsi="Times New Roman" w:cs="Times New Roman"/>
          <w:kern w:val="0"/>
          <w:sz w:val="24"/>
        </w:rPr>
        <w:t>97.5</w:t>
      </w:r>
      <w:r>
        <w:rPr>
          <w:rFonts w:hint="eastAsia" w:ascii="Times New Roman" w:hAnsi="Times New Roman" w:cs="Times New Roman"/>
          <w:kern w:val="0"/>
          <w:sz w:val="24"/>
          <w:lang w:val="zh-CN"/>
        </w:rPr>
        <w:t>%。</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ascii="Times New Roman" w:hAnsi="Times New Roman"/>
          <w:color w:val="auto"/>
          <w:highlight w:val="none"/>
          <w:lang w:val="zh-CN"/>
        </w:rPr>
      </w:pPr>
      <w:r>
        <w:rPr>
          <w:rFonts w:hint="eastAsia" w:ascii="Times New Roman" w:hAnsi="Times New Roman" w:cs="Times New Roman"/>
          <w:color w:val="auto"/>
          <w:kern w:val="0"/>
          <w:sz w:val="24"/>
          <w:highlight w:val="none"/>
          <w:lang w:val="zh-CN"/>
        </w:rPr>
        <w:t>全年全市建筑业总产值</w:t>
      </w:r>
      <w:r>
        <w:rPr>
          <w:rFonts w:hint="eastAsia" w:ascii="Times New Roman" w:hAnsi="Times New Roman" w:cs="Times New Roman"/>
          <w:kern w:val="0"/>
          <w:sz w:val="24"/>
          <w:highlight w:val="none"/>
          <w:lang w:val="zh-CN"/>
        </w:rPr>
        <w:t>比上年</w:t>
      </w:r>
      <w:r>
        <w:rPr>
          <w:rFonts w:hint="eastAsia" w:ascii="Times New Roman" w:hAnsi="Times New Roman" w:cs="Times New Roman"/>
          <w:color w:val="auto"/>
          <w:kern w:val="0"/>
          <w:sz w:val="24"/>
          <w:highlight w:val="none"/>
          <w:lang w:val="zh-CN"/>
        </w:rPr>
        <w:t>增长</w:t>
      </w:r>
      <w:r>
        <w:rPr>
          <w:rFonts w:hint="eastAsia" w:ascii="Times New Roman" w:hAnsi="Times New Roman" w:cs="Times New Roman"/>
          <w:color w:val="auto"/>
          <w:kern w:val="0"/>
          <w:sz w:val="24"/>
          <w:highlight w:val="none"/>
          <w:lang w:val="en-US" w:eastAsia="zh-CN"/>
        </w:rPr>
        <w:t>3.3</w:t>
      </w:r>
      <w:r>
        <w:rPr>
          <w:rFonts w:hint="eastAsia" w:ascii="Times New Roman" w:hAnsi="Times New Roman" w:cs="Times New Roman"/>
          <w:color w:val="auto"/>
          <w:kern w:val="0"/>
          <w:sz w:val="24"/>
          <w:highlight w:val="none"/>
          <w:lang w:val="zh-CN"/>
        </w:rPr>
        <w:t>%。具有资质等级的总承包和专业承包建筑业企业</w:t>
      </w:r>
      <w:r>
        <w:rPr>
          <w:rFonts w:hint="eastAsia" w:ascii="Times New Roman" w:hAnsi="Times New Roman" w:cs="Times New Roman"/>
          <w:color w:val="auto"/>
          <w:kern w:val="0"/>
          <w:sz w:val="24"/>
          <w:highlight w:val="none"/>
          <w:lang w:val="en-US" w:eastAsia="zh-CN"/>
        </w:rPr>
        <w:t>517</w:t>
      </w:r>
      <w:r>
        <w:rPr>
          <w:rFonts w:hint="eastAsia" w:ascii="Times New Roman" w:hAnsi="Times New Roman" w:cs="Times New Roman"/>
          <w:color w:val="auto"/>
          <w:kern w:val="0"/>
          <w:sz w:val="24"/>
          <w:highlight w:val="none"/>
          <w:lang w:val="zh-CN"/>
        </w:rPr>
        <w:t>家。</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color w:val="auto"/>
          <w:sz w:val="28"/>
          <w:szCs w:val="28"/>
          <w:highlight w:val="none"/>
        </w:rPr>
      </w:pPr>
      <w:r>
        <w:rPr>
          <w:rFonts w:ascii="Times New Roman" w:hAnsi="Times New Roman" w:cs="Times New Roman"/>
          <w:b/>
          <w:bCs/>
          <w:color w:val="auto"/>
          <w:sz w:val="28"/>
          <w:szCs w:val="28"/>
          <w:highlight w:val="none"/>
        </w:rPr>
        <w:t>四、固定资产投资</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cs="Times New Roman"/>
          <w:color w:val="auto"/>
          <w:kern w:val="0"/>
          <w:sz w:val="24"/>
          <w:highlight w:val="none"/>
          <w:lang w:val="zh-CN"/>
        </w:rPr>
      </w:pPr>
      <w:r>
        <w:rPr>
          <w:rFonts w:hint="eastAsia" w:ascii="Times New Roman" w:hAnsi="Times New Roman" w:cs="Times New Roman"/>
          <w:color w:val="auto"/>
          <w:kern w:val="0"/>
          <w:sz w:val="24"/>
          <w:highlight w:val="none"/>
          <w:lang w:val="zh-CN"/>
        </w:rPr>
        <w:t>全年全市固定资产投资（不含农户，下同）比上年增长</w:t>
      </w:r>
      <w:r>
        <w:rPr>
          <w:rFonts w:hint="eastAsia" w:ascii="Times New Roman" w:hAnsi="Times New Roman" w:cs="Times New Roman"/>
          <w:color w:val="auto"/>
          <w:kern w:val="0"/>
          <w:sz w:val="24"/>
          <w:highlight w:val="none"/>
          <w:lang w:val="en-US" w:eastAsia="zh-CN"/>
        </w:rPr>
        <w:t>3.0</w:t>
      </w:r>
      <w:r>
        <w:rPr>
          <w:rFonts w:hint="eastAsia" w:ascii="Times New Roman" w:hAnsi="Times New Roman" w:cs="Times New Roman"/>
          <w:color w:val="auto"/>
          <w:kern w:val="0"/>
          <w:sz w:val="24"/>
          <w:highlight w:val="none"/>
          <w:lang w:val="zh-CN"/>
        </w:rPr>
        <w:t>%。分领域看，工业投资</w:t>
      </w:r>
      <w:r>
        <w:rPr>
          <w:rFonts w:hint="eastAsia" w:ascii="Times New Roman" w:hAnsi="Times New Roman" w:cs="Times New Roman"/>
          <w:color w:val="auto"/>
          <w:kern w:val="0"/>
          <w:sz w:val="24"/>
          <w:highlight w:val="none"/>
          <w:lang w:val="en-US" w:eastAsia="zh-CN"/>
        </w:rPr>
        <w:t>下降0.3</w:t>
      </w:r>
      <w:r>
        <w:rPr>
          <w:rFonts w:hint="eastAsia" w:ascii="Times New Roman" w:hAnsi="Times New Roman" w:cs="Times New Roman"/>
          <w:color w:val="auto"/>
          <w:kern w:val="0"/>
          <w:sz w:val="24"/>
          <w:highlight w:val="none"/>
          <w:lang w:val="zh-CN"/>
        </w:rPr>
        <w:t>%，基础设施投资</w:t>
      </w:r>
      <w:r>
        <w:rPr>
          <w:rFonts w:hint="eastAsia" w:ascii="Times New Roman" w:hAnsi="Times New Roman" w:cs="Times New Roman"/>
          <w:color w:val="auto"/>
          <w:kern w:val="0"/>
          <w:sz w:val="24"/>
          <w:highlight w:val="none"/>
          <w:lang w:val="en-US" w:eastAsia="zh-CN"/>
        </w:rPr>
        <w:t>下降1.3</w:t>
      </w:r>
      <w:r>
        <w:rPr>
          <w:rFonts w:hint="eastAsia" w:ascii="Times New Roman" w:hAnsi="Times New Roman" w:cs="Times New Roman"/>
          <w:color w:val="auto"/>
          <w:kern w:val="0"/>
          <w:sz w:val="24"/>
          <w:highlight w:val="none"/>
          <w:lang w:val="zh-CN"/>
        </w:rPr>
        <w:t>%，民间投资</w:t>
      </w:r>
      <w:r>
        <w:rPr>
          <w:rFonts w:hint="eastAsia" w:ascii="Times New Roman" w:hAnsi="Times New Roman" w:cs="Times New Roman"/>
          <w:color w:val="auto"/>
          <w:kern w:val="0"/>
          <w:sz w:val="24"/>
          <w:highlight w:val="none"/>
          <w:lang w:val="en-US" w:eastAsia="zh-CN"/>
        </w:rPr>
        <w:t>增长6.8</w:t>
      </w:r>
      <w:r>
        <w:rPr>
          <w:rFonts w:hint="eastAsia" w:ascii="Times New Roman" w:hAnsi="Times New Roman" w:cs="Times New Roman"/>
          <w:color w:val="auto"/>
          <w:kern w:val="0"/>
          <w:sz w:val="24"/>
          <w:highlight w:val="none"/>
          <w:lang w:val="zh-CN"/>
        </w:rPr>
        <w:t>%。分产业看，第一产业投资</w:t>
      </w:r>
      <w:r>
        <w:rPr>
          <w:rFonts w:hint="eastAsia" w:ascii="Times New Roman" w:hAnsi="Times New Roman" w:cs="Times New Roman"/>
          <w:color w:val="auto"/>
          <w:kern w:val="0"/>
          <w:sz w:val="24"/>
          <w:highlight w:val="none"/>
          <w:lang w:val="en-US" w:eastAsia="zh-CN"/>
        </w:rPr>
        <w:t>下降13.9</w:t>
      </w:r>
      <w:r>
        <w:rPr>
          <w:rFonts w:hint="eastAsia" w:ascii="Times New Roman" w:hAnsi="Times New Roman" w:cs="Times New Roman"/>
          <w:color w:val="auto"/>
          <w:kern w:val="0"/>
          <w:sz w:val="24"/>
          <w:highlight w:val="none"/>
          <w:lang w:val="zh-CN"/>
        </w:rPr>
        <w:t>%，第二产业投资</w:t>
      </w:r>
      <w:r>
        <w:rPr>
          <w:rFonts w:hint="eastAsia" w:ascii="Times New Roman" w:hAnsi="Times New Roman" w:cs="Times New Roman"/>
          <w:color w:val="auto"/>
          <w:kern w:val="0"/>
          <w:sz w:val="24"/>
          <w:highlight w:val="none"/>
          <w:lang w:val="en-US" w:eastAsia="zh-CN"/>
        </w:rPr>
        <w:t>下降0.3</w:t>
      </w:r>
      <w:r>
        <w:rPr>
          <w:rFonts w:hint="eastAsia" w:ascii="Times New Roman" w:hAnsi="Times New Roman" w:cs="Times New Roman"/>
          <w:color w:val="auto"/>
          <w:kern w:val="0"/>
          <w:sz w:val="24"/>
          <w:highlight w:val="none"/>
          <w:lang w:val="zh-CN"/>
        </w:rPr>
        <w:t>%，第三产业投资</w:t>
      </w:r>
      <w:r>
        <w:rPr>
          <w:rFonts w:hint="eastAsia" w:ascii="Times New Roman" w:hAnsi="Times New Roman" w:cs="Times New Roman"/>
          <w:color w:val="auto"/>
          <w:kern w:val="0"/>
          <w:sz w:val="24"/>
          <w:highlight w:val="none"/>
          <w:lang w:val="en-US" w:eastAsia="zh-CN"/>
        </w:rPr>
        <w:t>增长4.3</w:t>
      </w:r>
      <w:r>
        <w:rPr>
          <w:rFonts w:hint="eastAsia" w:ascii="Times New Roman" w:hAnsi="Times New Roman" w:cs="Times New Roman"/>
          <w:color w:val="auto"/>
          <w:kern w:val="0"/>
          <w:sz w:val="24"/>
          <w:highlight w:val="none"/>
          <w:lang w:val="zh-CN"/>
        </w:rPr>
        <w:t>%。</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cs="Times New Roman"/>
          <w:color w:val="auto"/>
          <w:kern w:val="0"/>
          <w:sz w:val="24"/>
          <w:highlight w:val="none"/>
          <w:lang w:val="zh-CN"/>
        </w:rPr>
      </w:pPr>
      <w:r>
        <w:rPr>
          <w:rFonts w:hint="eastAsia" w:ascii="Times New Roman" w:hAnsi="Times New Roman" w:cs="Times New Roman"/>
          <w:color w:val="auto"/>
          <w:kern w:val="0"/>
          <w:sz w:val="24"/>
          <w:highlight w:val="none"/>
          <w:lang w:val="zh-CN"/>
        </w:rPr>
        <w:t>工业投资中，制造业投资比上年增长</w:t>
      </w:r>
      <w:r>
        <w:rPr>
          <w:rFonts w:hint="eastAsia" w:ascii="Times New Roman" w:hAnsi="Times New Roman" w:cs="Times New Roman"/>
          <w:color w:val="auto"/>
          <w:kern w:val="0"/>
          <w:sz w:val="24"/>
          <w:highlight w:val="none"/>
          <w:lang w:val="en-US" w:eastAsia="zh-CN"/>
        </w:rPr>
        <w:t>2.9</w:t>
      </w:r>
      <w:r>
        <w:rPr>
          <w:rFonts w:hint="eastAsia" w:ascii="Times New Roman" w:hAnsi="Times New Roman" w:cs="Times New Roman"/>
          <w:color w:val="auto"/>
          <w:kern w:val="0"/>
          <w:sz w:val="24"/>
          <w:highlight w:val="none"/>
          <w:lang w:val="zh-CN"/>
        </w:rPr>
        <w:t>%，五大主导产业增长</w:t>
      </w:r>
      <w:r>
        <w:rPr>
          <w:rFonts w:hint="eastAsia" w:ascii="Times New Roman" w:hAnsi="Times New Roman" w:cs="Times New Roman"/>
          <w:color w:val="auto"/>
          <w:kern w:val="0"/>
          <w:sz w:val="24"/>
          <w:highlight w:val="none"/>
          <w:lang w:val="en-US" w:eastAsia="zh-CN"/>
        </w:rPr>
        <w:t>0.8</w:t>
      </w:r>
      <w:r>
        <w:rPr>
          <w:rFonts w:hint="eastAsia" w:ascii="Times New Roman" w:hAnsi="Times New Roman" w:cs="Times New Roman"/>
          <w:color w:val="auto"/>
          <w:kern w:val="0"/>
          <w:sz w:val="24"/>
          <w:highlight w:val="none"/>
          <w:lang w:val="zh-CN"/>
        </w:rPr>
        <w:t>%，高成长性制造业投资增长</w:t>
      </w:r>
      <w:r>
        <w:rPr>
          <w:rFonts w:hint="eastAsia" w:ascii="Times New Roman" w:hAnsi="Times New Roman" w:cs="Times New Roman"/>
          <w:color w:val="auto"/>
          <w:kern w:val="0"/>
          <w:sz w:val="24"/>
          <w:highlight w:val="none"/>
          <w:lang w:val="en-US" w:eastAsia="zh-CN"/>
        </w:rPr>
        <w:t>3.0</w:t>
      </w:r>
      <w:r>
        <w:rPr>
          <w:rFonts w:hint="eastAsia" w:ascii="Times New Roman" w:hAnsi="Times New Roman" w:cs="Times New Roman"/>
          <w:color w:val="auto"/>
          <w:kern w:val="0"/>
          <w:sz w:val="24"/>
          <w:highlight w:val="none"/>
          <w:lang w:val="zh-CN"/>
        </w:rPr>
        <w:t>%。基础设施投资中，信息传输业投资比上年增长</w:t>
      </w:r>
      <w:r>
        <w:rPr>
          <w:rFonts w:hint="eastAsia" w:ascii="Times New Roman" w:hAnsi="Times New Roman" w:cs="Times New Roman"/>
          <w:color w:val="auto"/>
          <w:kern w:val="0"/>
          <w:sz w:val="24"/>
          <w:highlight w:val="none"/>
          <w:lang w:val="en-US" w:eastAsia="zh-CN"/>
        </w:rPr>
        <w:t>52.3</w:t>
      </w:r>
      <w:r>
        <w:rPr>
          <w:rFonts w:hint="eastAsia" w:ascii="Times New Roman" w:hAnsi="Times New Roman" w:cs="Times New Roman"/>
          <w:color w:val="auto"/>
          <w:kern w:val="0"/>
          <w:sz w:val="24"/>
          <w:highlight w:val="none"/>
          <w:lang w:val="zh-CN"/>
        </w:rPr>
        <w:t>%，交通运输业和邮政业投资</w:t>
      </w:r>
      <w:r>
        <w:rPr>
          <w:rFonts w:hint="eastAsia" w:ascii="Times New Roman" w:hAnsi="Times New Roman" w:cs="Times New Roman"/>
          <w:color w:val="auto"/>
          <w:kern w:val="0"/>
          <w:sz w:val="24"/>
          <w:highlight w:val="none"/>
          <w:lang w:val="en-US" w:eastAsia="zh-CN"/>
        </w:rPr>
        <w:t>增长4.8</w:t>
      </w:r>
      <w:r>
        <w:rPr>
          <w:rFonts w:hint="eastAsia" w:ascii="Times New Roman" w:hAnsi="Times New Roman" w:cs="Times New Roman"/>
          <w:color w:val="auto"/>
          <w:kern w:val="0"/>
          <w:sz w:val="24"/>
          <w:highlight w:val="none"/>
          <w:lang w:val="zh-CN"/>
        </w:rPr>
        <w:t>%。</w:t>
      </w:r>
    </w:p>
    <w:p>
      <w:pPr>
        <w:keepNext w:val="0"/>
        <w:keepLines w:val="0"/>
        <w:pageBreakBefore w:val="0"/>
        <w:widowControl w:val="0"/>
        <w:kinsoku/>
        <w:overflowPunct/>
        <w:topLinePunct w:val="0"/>
        <w:autoSpaceDE/>
        <w:autoSpaceDN/>
        <w:bidi w:val="0"/>
        <w:adjustRightInd/>
        <w:snapToGrid/>
        <w:spacing w:line="560" w:lineRule="exact"/>
        <w:ind w:firstLine="480" w:firstLineChars="200"/>
        <w:rPr>
          <w:rFonts w:hint="eastAsia" w:ascii="Times New Roman" w:hAnsi="Times New Roman" w:cs="Times New Roman"/>
          <w:color w:val="auto"/>
          <w:kern w:val="0"/>
          <w:sz w:val="24"/>
          <w:highlight w:val="none"/>
          <w:lang w:val="zh-CN"/>
        </w:rPr>
      </w:pPr>
      <w:r>
        <w:rPr>
          <w:rFonts w:hint="eastAsia" w:ascii="Times New Roman" w:hAnsi="Times New Roman" w:cs="Times New Roman"/>
          <w:color w:val="auto"/>
          <w:kern w:val="0"/>
          <w:sz w:val="24"/>
          <w:highlight w:val="none"/>
          <w:lang w:val="zh-CN"/>
        </w:rPr>
        <w:t>全年全市房地产开发投资</w:t>
      </w:r>
      <w:r>
        <w:rPr>
          <w:rFonts w:hint="eastAsia" w:ascii="Times New Roman" w:hAnsi="Times New Roman" w:cs="Times New Roman"/>
          <w:kern w:val="0"/>
          <w:sz w:val="24"/>
          <w:highlight w:val="none"/>
          <w:lang w:val="zh-CN"/>
        </w:rPr>
        <w:t>比上年</w:t>
      </w:r>
      <w:r>
        <w:rPr>
          <w:rFonts w:hint="eastAsia" w:ascii="Times New Roman" w:hAnsi="Times New Roman" w:cs="Times New Roman"/>
          <w:color w:val="auto"/>
          <w:kern w:val="0"/>
          <w:sz w:val="24"/>
          <w:highlight w:val="none"/>
          <w:lang w:val="zh-CN"/>
        </w:rPr>
        <w:t>下降</w:t>
      </w:r>
      <w:r>
        <w:rPr>
          <w:rFonts w:hint="eastAsia" w:ascii="Times New Roman" w:hAnsi="Times New Roman" w:cs="Times New Roman"/>
          <w:color w:val="auto"/>
          <w:kern w:val="0"/>
          <w:sz w:val="24"/>
          <w:highlight w:val="none"/>
          <w:lang w:val="en-US" w:eastAsia="zh-CN"/>
        </w:rPr>
        <w:t>10.4</w:t>
      </w:r>
      <w:r>
        <w:rPr>
          <w:rFonts w:hint="eastAsia" w:ascii="Times New Roman" w:hAnsi="Times New Roman" w:cs="Times New Roman"/>
          <w:color w:val="auto"/>
          <w:kern w:val="0"/>
          <w:sz w:val="24"/>
          <w:highlight w:val="none"/>
          <w:lang w:val="zh-CN"/>
        </w:rPr>
        <w:t>%。新建商品房销售面积</w:t>
      </w:r>
      <w:r>
        <w:rPr>
          <w:rFonts w:hint="eastAsia" w:ascii="Times New Roman" w:hAnsi="Times New Roman" w:cs="Times New Roman"/>
          <w:color w:val="auto"/>
          <w:kern w:val="0"/>
          <w:sz w:val="24"/>
          <w:highlight w:val="none"/>
          <w:lang w:val="en-US" w:eastAsia="zh-CN"/>
        </w:rPr>
        <w:t>增长0.2</w:t>
      </w:r>
      <w:r>
        <w:rPr>
          <w:rFonts w:hint="eastAsia" w:ascii="Times New Roman" w:hAnsi="Times New Roman" w:cs="Times New Roman"/>
          <w:color w:val="auto"/>
          <w:kern w:val="0"/>
          <w:sz w:val="24"/>
          <w:highlight w:val="none"/>
          <w:lang w:val="zh-CN"/>
        </w:rPr>
        <w:t>%，新建商品房销售额</w:t>
      </w:r>
      <w:r>
        <w:rPr>
          <w:rFonts w:hint="eastAsia" w:ascii="Times New Roman" w:hAnsi="Times New Roman" w:cs="Times New Roman"/>
          <w:color w:val="auto"/>
          <w:kern w:val="0"/>
          <w:sz w:val="24"/>
          <w:highlight w:val="none"/>
          <w:lang w:val="en-US" w:eastAsia="zh-CN"/>
        </w:rPr>
        <w:t>下降0.4</w:t>
      </w:r>
      <w:r>
        <w:rPr>
          <w:rFonts w:hint="eastAsia" w:ascii="Times New Roman" w:hAnsi="Times New Roman" w:cs="Times New Roman"/>
          <w:color w:val="auto"/>
          <w:kern w:val="0"/>
          <w:sz w:val="24"/>
          <w:highlight w:val="none"/>
          <w:lang w:val="zh-CN"/>
        </w:rPr>
        <w:t>%。</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Times New Roman" w:hAnsi="Times New Roman" w:eastAsia="宋体" w:cs="Times New Roman"/>
          <w:b/>
          <w:color w:val="auto"/>
          <w:sz w:val="28"/>
          <w:szCs w:val="28"/>
          <w:highlight w:val="none"/>
          <w:lang w:eastAsia="zh-CN"/>
        </w:rPr>
      </w:pPr>
      <w:r>
        <w:rPr>
          <w:rFonts w:hint="eastAsia" w:ascii="Times New Roman" w:hAnsi="Times New Roman" w:cs="Times New Roman"/>
          <w:b/>
          <w:color w:val="auto"/>
          <w:sz w:val="28"/>
          <w:szCs w:val="28"/>
          <w:highlight w:val="none"/>
          <w:lang w:eastAsia="zh-CN"/>
        </w:rPr>
        <w:t>五</w:t>
      </w:r>
      <w:r>
        <w:rPr>
          <w:rFonts w:ascii="Times New Roman" w:hAnsi="Times New Roman" w:cs="Times New Roman"/>
          <w:b/>
          <w:color w:val="auto"/>
          <w:sz w:val="28"/>
          <w:szCs w:val="28"/>
          <w:highlight w:val="none"/>
        </w:rPr>
        <w:t>、</w:t>
      </w:r>
      <w:r>
        <w:rPr>
          <w:rFonts w:hint="eastAsia" w:ascii="Times New Roman" w:hAnsi="Times New Roman" w:cs="Times New Roman"/>
          <w:b/>
          <w:color w:val="auto"/>
          <w:sz w:val="28"/>
          <w:szCs w:val="28"/>
          <w:highlight w:val="none"/>
          <w:lang w:eastAsia="zh-CN"/>
        </w:rPr>
        <w:t>服务业</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olor w:val="auto"/>
          <w:kern w:val="1"/>
          <w:highlight w:val="none"/>
        </w:rPr>
      </w:pPr>
      <w:r>
        <w:rPr>
          <w:rFonts w:hint="eastAsia" w:ascii="Times New Roman" w:hAnsi="Times New Roman"/>
          <w:color w:val="auto"/>
          <w:kern w:val="1"/>
          <w:highlight w:val="none"/>
        </w:rPr>
        <w:t>全年全市批发和零售业增加值292.01亿元，比上年增长5.8%；交通运输、仓储和邮政业增加值192.38亿元，增长10.5%；住宿和餐饮业增加值91.62亿元，增长6.1%；金融业增加值94.05亿元，增长2.2%；房地产业增加值246.67亿元，增长2.9%；其他服务业增加值984.83亿元，增长8.9%。规模以上服务业企业营业收入比上年增长</w:t>
      </w:r>
      <w:r>
        <w:rPr>
          <w:rFonts w:hint="default" w:ascii="Times New Roman" w:hAnsi="Times New Roman"/>
          <w:color w:val="auto"/>
          <w:kern w:val="1"/>
          <w:highlight w:val="none"/>
          <w:lang w:val="en-US" w:eastAsia="zh-CN"/>
        </w:rPr>
        <w:t>8.1</w:t>
      </w:r>
      <w:r>
        <w:rPr>
          <w:rFonts w:hint="eastAsia" w:ascii="Times New Roman" w:hAnsi="Times New Roman"/>
          <w:color w:val="auto"/>
          <w:kern w:val="1"/>
          <w:highlight w:val="none"/>
        </w:rPr>
        <w:t>%</w:t>
      </w:r>
      <w:r>
        <w:rPr>
          <w:rFonts w:hint="eastAsia" w:ascii="Times New Roman" w:hAnsi="Times New Roman"/>
          <w:color w:val="auto"/>
          <w:kern w:val="1"/>
          <w:highlight w:val="none"/>
          <w:lang w:val="en-US" w:eastAsia="zh-CN"/>
        </w:rPr>
        <w:t>。</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olor w:val="auto"/>
          <w:kern w:val="1"/>
          <w:highlight w:val="none"/>
          <w:lang w:val="en-US" w:eastAsia="zh-CN"/>
        </w:rPr>
      </w:pPr>
      <w:r>
        <w:rPr>
          <w:rFonts w:hint="eastAsia" w:ascii="Times New Roman" w:hAnsi="Times New Roman"/>
          <w:color w:val="auto"/>
          <w:kern w:val="1"/>
          <w:highlight w:val="none"/>
          <w:lang w:val="en-US" w:eastAsia="zh-CN"/>
        </w:rPr>
        <w:t>全年</w:t>
      </w:r>
      <w:r>
        <w:rPr>
          <w:rFonts w:hint="eastAsia" w:ascii="Times New Roman" w:hAnsi="Times New Roman"/>
          <w:color w:val="auto"/>
          <w:kern w:val="1"/>
          <w:highlight w:val="none"/>
        </w:rPr>
        <w:t>全市货物运输总量</w:t>
      </w:r>
      <w:r>
        <w:rPr>
          <w:rFonts w:hint="eastAsia" w:ascii="Times New Roman" w:hAnsi="Times New Roman"/>
          <w:color w:val="auto"/>
          <w:kern w:val="1"/>
          <w:highlight w:val="none"/>
          <w:lang w:val="en-US" w:eastAsia="zh-CN"/>
        </w:rPr>
        <w:t>2.60</w:t>
      </w:r>
      <w:r>
        <w:rPr>
          <w:rFonts w:hint="eastAsia" w:ascii="Times New Roman" w:hAnsi="Times New Roman"/>
          <w:color w:val="auto"/>
          <w:kern w:val="1"/>
          <w:highlight w:val="none"/>
        </w:rPr>
        <w:t>亿吨，比上年</w:t>
      </w:r>
      <w:r>
        <w:rPr>
          <w:rFonts w:hint="eastAsia" w:ascii="Times New Roman" w:hAnsi="Times New Roman"/>
          <w:color w:val="auto"/>
          <w:kern w:val="1"/>
          <w:highlight w:val="none"/>
          <w:lang w:eastAsia="zh-CN"/>
        </w:rPr>
        <w:t>下降</w:t>
      </w:r>
      <w:r>
        <w:rPr>
          <w:rFonts w:hint="eastAsia" w:ascii="Times New Roman" w:hAnsi="Times New Roman"/>
          <w:color w:val="auto"/>
          <w:kern w:val="1"/>
          <w:highlight w:val="none"/>
          <w:lang w:val="en-US" w:eastAsia="zh-CN"/>
        </w:rPr>
        <w:t>3.8</w:t>
      </w:r>
      <w:r>
        <w:rPr>
          <w:rFonts w:hint="eastAsia" w:ascii="Times New Roman" w:hAnsi="Times New Roman"/>
          <w:color w:val="auto"/>
          <w:kern w:val="1"/>
          <w:highlight w:val="none"/>
        </w:rPr>
        <w:t>%；</w:t>
      </w:r>
      <w:r>
        <w:rPr>
          <w:rFonts w:hint="eastAsia" w:ascii="Times New Roman" w:hAnsi="Times New Roman"/>
          <w:color w:val="auto"/>
          <w:kern w:val="1"/>
          <w:highlight w:val="none"/>
          <w:shd w:val="clear" w:color="auto" w:fill="auto"/>
          <w:lang w:val="en-US" w:eastAsia="zh-CN"/>
        </w:rPr>
        <w:t>货物</w:t>
      </w:r>
      <w:r>
        <w:rPr>
          <w:rFonts w:hint="eastAsia" w:ascii="Times New Roman" w:hAnsi="Times New Roman"/>
          <w:color w:val="auto"/>
          <w:kern w:val="1"/>
          <w:highlight w:val="none"/>
        </w:rPr>
        <w:t>运输</w:t>
      </w:r>
      <w:r>
        <w:rPr>
          <w:rFonts w:hint="eastAsia" w:ascii="Times New Roman" w:hAnsi="Times New Roman"/>
          <w:color w:val="auto"/>
          <w:kern w:val="1"/>
          <w:highlight w:val="none"/>
          <w:shd w:val="clear" w:color="auto" w:fill="auto"/>
          <w:lang w:val="en-US" w:eastAsia="zh-CN"/>
        </w:rPr>
        <w:t>周转量983.80亿吨公里，下降3.4%。旅客运输总量1.13亿人，下降2.5%；旅客运输周转量70.43亿人公里，增长5.7%</w:t>
      </w:r>
      <w:r>
        <w:rPr>
          <w:rFonts w:hint="eastAsia" w:ascii="Times New Roman" w:hAnsi="Times New Roman"/>
          <w:color w:val="auto"/>
          <w:kern w:val="1"/>
          <w:highlight w:val="none"/>
        </w:rPr>
        <w:t>。</w:t>
      </w:r>
      <w:r>
        <w:rPr>
          <w:rFonts w:hint="eastAsia" w:ascii="Times New Roman" w:hAnsi="Times New Roman"/>
          <w:color w:val="auto"/>
          <w:kern w:val="1"/>
          <w:highlight w:val="none"/>
          <w:shd w:val="clear" w:color="auto" w:fill="auto"/>
          <w:lang w:val="en-US" w:eastAsia="zh-CN"/>
        </w:rPr>
        <w:t>2025年</w:t>
      </w:r>
      <w:r>
        <w:rPr>
          <w:rFonts w:hint="eastAsia" w:ascii="Times New Roman" w:hAnsi="Times New Roman"/>
          <w:color w:val="auto"/>
          <w:kern w:val="1"/>
          <w:highlight w:val="none"/>
          <w:shd w:val="clear" w:color="auto" w:fill="auto"/>
          <w:lang w:eastAsia="zh-CN"/>
        </w:rPr>
        <w:t>周口市境内高铁发送旅客</w:t>
      </w:r>
      <w:r>
        <w:rPr>
          <w:rFonts w:hint="default" w:ascii="Times New Roman" w:hAnsi="Times New Roman"/>
          <w:color w:val="auto"/>
          <w:kern w:val="1"/>
          <w:highlight w:val="none"/>
          <w:shd w:val="clear" w:color="auto" w:fill="auto"/>
          <w:lang w:val="en-US" w:eastAsia="zh-CN"/>
        </w:rPr>
        <w:t>598.4</w:t>
      </w:r>
      <w:r>
        <w:rPr>
          <w:rFonts w:hint="eastAsia" w:ascii="Times New Roman" w:hAnsi="Times New Roman"/>
          <w:color w:val="auto"/>
          <w:kern w:val="1"/>
          <w:highlight w:val="none"/>
          <w:shd w:val="clear" w:color="auto" w:fill="auto"/>
          <w:lang w:val="en-US" w:eastAsia="zh-CN"/>
        </w:rPr>
        <w:t>万人次。</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olor w:val="0000FF"/>
          <w:kern w:val="1"/>
          <w:highlight w:val="none"/>
        </w:rPr>
      </w:pPr>
      <w:r>
        <w:rPr>
          <w:rFonts w:hint="eastAsia" w:ascii="Times New Roman" w:hAnsi="Times New Roman"/>
          <w:strike w:val="0"/>
          <w:dstrike w:val="0"/>
          <w:color w:val="auto"/>
          <w:kern w:val="1"/>
          <w:highlight w:val="none"/>
          <w:shd w:val="clear" w:color="auto" w:fill="auto"/>
          <w:lang w:val="en-US" w:eastAsia="zh-CN"/>
        </w:rPr>
        <w:t>全年全市港口货物吞吐量5543.48万吨，比上年增长6.5%；集装箱吞吐量</w:t>
      </w:r>
      <w:r>
        <w:rPr>
          <w:rFonts w:hint="default" w:ascii="Times New Roman" w:hAnsi="Times New Roman"/>
          <w:strike w:val="0"/>
          <w:dstrike w:val="0"/>
          <w:color w:val="auto"/>
          <w:kern w:val="1"/>
          <w:highlight w:val="none"/>
          <w:shd w:val="clear" w:color="auto" w:fill="auto"/>
          <w:lang w:val="en-US" w:eastAsia="zh-CN"/>
        </w:rPr>
        <w:t>17.54</w:t>
      </w:r>
      <w:r>
        <w:rPr>
          <w:rFonts w:hint="eastAsia" w:ascii="Times New Roman" w:hAnsi="Times New Roman"/>
          <w:strike w:val="0"/>
          <w:dstrike w:val="0"/>
          <w:color w:val="auto"/>
          <w:kern w:val="1"/>
          <w:highlight w:val="none"/>
          <w:shd w:val="clear" w:color="auto" w:fill="auto"/>
          <w:lang w:val="en-US" w:eastAsia="zh-CN"/>
        </w:rPr>
        <w:t>万标箱，增长7.5%。新开通集装箱航线</w:t>
      </w:r>
      <w:r>
        <w:rPr>
          <w:rFonts w:hint="default" w:ascii="Times New Roman" w:hAnsi="Times New Roman"/>
          <w:strike w:val="0"/>
          <w:dstrike w:val="0"/>
          <w:color w:val="auto"/>
          <w:kern w:val="1"/>
          <w:highlight w:val="none"/>
          <w:shd w:val="clear" w:color="auto" w:fill="auto"/>
          <w:lang w:val="en-US" w:eastAsia="zh-CN"/>
        </w:rPr>
        <w:t>11</w:t>
      </w:r>
      <w:r>
        <w:rPr>
          <w:rFonts w:hint="eastAsia" w:ascii="Times New Roman" w:hAnsi="Times New Roman"/>
          <w:strike w:val="0"/>
          <w:dstrike w:val="0"/>
          <w:color w:val="auto"/>
          <w:kern w:val="1"/>
          <w:highlight w:val="none"/>
          <w:shd w:val="clear" w:color="auto" w:fill="auto"/>
          <w:lang w:val="en-US" w:eastAsia="zh-CN"/>
        </w:rPr>
        <w:t>条，国内、国际集装箱航线分别达到</w:t>
      </w:r>
      <w:r>
        <w:rPr>
          <w:rFonts w:hint="default" w:ascii="Times New Roman" w:hAnsi="Times New Roman"/>
          <w:strike w:val="0"/>
          <w:dstrike w:val="0"/>
          <w:color w:val="auto"/>
          <w:kern w:val="1"/>
          <w:highlight w:val="none"/>
          <w:shd w:val="clear" w:color="auto" w:fill="auto"/>
          <w:lang w:val="en-US" w:eastAsia="zh-CN"/>
        </w:rPr>
        <w:t>24</w:t>
      </w:r>
      <w:r>
        <w:rPr>
          <w:rFonts w:hint="eastAsia" w:ascii="Times New Roman" w:hAnsi="Times New Roman"/>
          <w:strike w:val="0"/>
          <w:dstrike w:val="0"/>
          <w:color w:val="auto"/>
          <w:kern w:val="1"/>
          <w:highlight w:val="none"/>
          <w:shd w:val="clear" w:color="auto" w:fill="auto"/>
          <w:lang w:val="en-US" w:eastAsia="zh-CN"/>
        </w:rPr>
        <w:t>条、</w:t>
      </w:r>
      <w:r>
        <w:rPr>
          <w:rFonts w:hint="default" w:ascii="Times New Roman" w:hAnsi="Times New Roman"/>
          <w:strike w:val="0"/>
          <w:dstrike w:val="0"/>
          <w:color w:val="auto"/>
          <w:kern w:val="1"/>
          <w:highlight w:val="none"/>
          <w:shd w:val="clear" w:color="auto" w:fill="auto"/>
          <w:lang w:val="en-US" w:eastAsia="zh-CN"/>
        </w:rPr>
        <w:t>19</w:t>
      </w:r>
      <w:r>
        <w:rPr>
          <w:rFonts w:hint="eastAsia" w:ascii="Times New Roman" w:hAnsi="Times New Roman"/>
          <w:strike w:val="0"/>
          <w:dstrike w:val="0"/>
          <w:color w:val="auto"/>
          <w:kern w:val="1"/>
          <w:highlight w:val="none"/>
          <w:shd w:val="clear" w:color="auto" w:fill="auto"/>
          <w:lang w:val="en-US" w:eastAsia="zh-CN"/>
        </w:rPr>
        <w:t>条，已建成规模性港口9个、泊位96个，拥有航运企业21家，货运船舶1073艘，总载重吨位110万吨以上。沙颍河周口中心港达到四级内河航道标准，具备常年单船</w:t>
      </w:r>
      <w:r>
        <w:rPr>
          <w:rFonts w:hint="default" w:ascii="Times New Roman" w:hAnsi="Times New Roman"/>
          <w:strike w:val="0"/>
          <w:dstrike w:val="0"/>
          <w:color w:val="auto"/>
          <w:kern w:val="1"/>
          <w:highlight w:val="none"/>
          <w:shd w:val="clear" w:color="auto" w:fill="auto"/>
          <w:lang w:val="en-US" w:eastAsia="zh-CN"/>
        </w:rPr>
        <w:t>1</w:t>
      </w:r>
      <w:r>
        <w:rPr>
          <w:rFonts w:hint="eastAsia" w:ascii="Times New Roman" w:hAnsi="Times New Roman"/>
          <w:strike w:val="0"/>
          <w:dstrike w:val="0"/>
          <w:color w:val="auto"/>
          <w:kern w:val="1"/>
          <w:highlight w:val="none"/>
          <w:shd w:val="clear" w:color="auto" w:fill="auto"/>
          <w:lang w:val="en-US" w:eastAsia="zh-CN"/>
        </w:rPr>
        <w:t>000吨级、拖船10000吨级的通行能力。</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Style w:val="16"/>
          <w:rFonts w:hint="eastAsia" w:ascii="Times New Roman" w:hAnsi="Times New Roman" w:eastAsia="宋体"/>
          <w:color w:val="auto"/>
          <w:highlight w:val="none"/>
          <w:lang w:eastAsia="zh-CN"/>
        </w:rPr>
      </w:pPr>
      <w:r>
        <w:rPr>
          <w:rStyle w:val="16"/>
          <w:rFonts w:ascii="Times New Roman" w:hAnsi="Times New Roman"/>
          <w:color w:val="auto"/>
          <w:highlight w:val="none"/>
        </w:rPr>
        <w:t>表</w:t>
      </w:r>
      <w:r>
        <w:rPr>
          <w:rStyle w:val="16"/>
          <w:rFonts w:hint="eastAsia" w:ascii="Times New Roman" w:hAnsi="Times New Roman"/>
          <w:color w:val="auto"/>
          <w:highlight w:val="none"/>
          <w:lang w:val="en-US" w:eastAsia="zh-CN"/>
        </w:rPr>
        <w:t xml:space="preserve">6 </w:t>
      </w:r>
      <w:r>
        <w:rPr>
          <w:rStyle w:val="16"/>
          <w:rFonts w:hint="eastAsia" w:ascii="Times New Roman" w:hAnsi="Times New Roman"/>
          <w:color w:val="auto"/>
          <w:highlight w:val="none"/>
          <w:lang w:eastAsia="zh-CN"/>
        </w:rPr>
        <w:t xml:space="preserve"> </w:t>
      </w:r>
      <w:r>
        <w:rPr>
          <w:rStyle w:val="16"/>
          <w:rFonts w:hint="eastAsia" w:ascii="Times New Roman" w:hAnsi="Times New Roman"/>
          <w:color w:val="auto"/>
          <w:highlight w:val="none"/>
          <w:lang w:val="en-US" w:eastAsia="zh-CN"/>
        </w:rPr>
        <w:t>2</w:t>
      </w:r>
      <w:r>
        <w:rPr>
          <w:rFonts w:hint="eastAsia" w:ascii="Times New Roman" w:hAnsi="Times New Roman"/>
          <w:b/>
          <w:color w:val="auto"/>
          <w:highlight w:val="none"/>
          <w:lang w:eastAsia="zh-CN"/>
        </w:rPr>
        <w:t>025</w:t>
      </w:r>
      <w:r>
        <w:rPr>
          <w:rFonts w:hint="eastAsia" w:ascii="Times New Roman" w:hAnsi="Times New Roman"/>
          <w:b/>
          <w:color w:val="auto"/>
          <w:highlight w:val="none"/>
        </w:rPr>
        <w:t>年</w:t>
      </w:r>
      <w:r>
        <w:rPr>
          <w:rFonts w:hint="eastAsia" w:ascii="Times New Roman" w:hAnsi="Times New Roman"/>
          <w:b/>
          <w:color w:val="auto"/>
          <w:highlight w:val="none"/>
          <w:lang w:eastAsia="zh-CN"/>
        </w:rPr>
        <w:t>周口市</w:t>
      </w:r>
      <w:r>
        <w:rPr>
          <w:rFonts w:hint="eastAsia" w:ascii="Times New Roman" w:hAnsi="Times New Roman"/>
          <w:b/>
          <w:color w:val="auto"/>
          <w:highlight w:val="none"/>
        </w:rPr>
        <w:t>交通运输主要指标及</w:t>
      </w:r>
      <w:r>
        <w:rPr>
          <w:rStyle w:val="16"/>
          <w:rFonts w:hint="eastAsia" w:ascii="Times New Roman" w:hAnsi="Times New Roman"/>
          <w:color w:val="auto"/>
          <w:sz w:val="24"/>
          <w:szCs w:val="24"/>
          <w:highlight w:val="none"/>
          <w:lang w:eastAsia="zh-CN"/>
        </w:rPr>
        <w:t>其增长速度</w:t>
      </w:r>
    </w:p>
    <w:tbl>
      <w:tblPr>
        <w:tblStyle w:val="13"/>
        <w:tblW w:w="78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9"/>
        <w:gridCol w:w="1649"/>
        <w:gridCol w:w="1960"/>
        <w:gridCol w:w="19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2269" w:type="dxa"/>
            <w:tcBorders>
              <w:top w:val="single" w:color="000000" w:sz="12" w:space="0"/>
              <w:left w:val="nil"/>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b/>
                <w:bCs/>
                <w:color w:val="auto"/>
                <w:sz w:val="24"/>
                <w:highlight w:val="none"/>
              </w:rPr>
            </w:pPr>
            <w:r>
              <w:rPr>
                <w:rFonts w:hint="eastAsia" w:ascii="Times New Roman" w:hAnsi="Times New Roman" w:cs="Times New Roman"/>
                <w:b/>
                <w:bCs/>
                <w:color w:val="auto"/>
                <w:sz w:val="24"/>
                <w:highlight w:val="none"/>
              </w:rPr>
              <w:t>指标</w:t>
            </w:r>
          </w:p>
        </w:tc>
        <w:tc>
          <w:tcPr>
            <w:tcW w:w="1649" w:type="dxa"/>
            <w:tcBorders>
              <w:top w:val="single" w:color="000000" w:sz="12"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b/>
                <w:bCs/>
                <w:color w:val="auto"/>
                <w:sz w:val="24"/>
                <w:highlight w:val="none"/>
              </w:rPr>
            </w:pPr>
            <w:r>
              <w:rPr>
                <w:rFonts w:hint="eastAsia" w:ascii="Times New Roman" w:hAnsi="Times New Roman" w:cs="Times New Roman"/>
                <w:b/>
                <w:bCs/>
                <w:color w:val="auto"/>
                <w:sz w:val="24"/>
                <w:highlight w:val="none"/>
              </w:rPr>
              <w:t>单位</w:t>
            </w:r>
          </w:p>
        </w:tc>
        <w:tc>
          <w:tcPr>
            <w:tcW w:w="1960" w:type="dxa"/>
            <w:tcBorders>
              <w:top w:val="single" w:color="000000" w:sz="12"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b/>
                <w:bCs/>
                <w:color w:val="auto"/>
                <w:sz w:val="24"/>
                <w:highlight w:val="none"/>
              </w:rPr>
            </w:pPr>
            <w:r>
              <w:rPr>
                <w:rFonts w:hint="eastAsia" w:ascii="Times New Roman" w:hAnsi="Times New Roman" w:cs="Times New Roman"/>
                <w:b/>
                <w:bCs/>
                <w:color w:val="auto"/>
                <w:sz w:val="24"/>
                <w:highlight w:val="none"/>
              </w:rPr>
              <w:t>绝对数</w:t>
            </w:r>
          </w:p>
        </w:tc>
        <w:tc>
          <w:tcPr>
            <w:tcW w:w="1960" w:type="dxa"/>
            <w:tcBorders>
              <w:top w:val="single" w:color="000000" w:sz="12" w:space="0"/>
              <w:left w:val="single" w:color="auto" w:sz="4" w:space="0"/>
              <w:bottom w:val="single" w:color="auto" w:sz="4" w:space="0"/>
              <w:right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ind w:firstLine="0" w:firstLineChars="0"/>
              <w:jc w:val="center"/>
              <w:textAlignment w:val="auto"/>
              <w:rPr>
                <w:rFonts w:ascii="Times New Roman" w:hAnsi="Times New Roman" w:cs="Times New Roman"/>
                <w:b/>
                <w:bCs/>
                <w:color w:val="auto"/>
                <w:sz w:val="24"/>
                <w:highlight w:val="none"/>
              </w:rPr>
            </w:pPr>
            <w:r>
              <w:rPr>
                <w:rFonts w:hint="eastAsia" w:ascii="Times New Roman" w:hAnsi="Times New Roman" w:cs="Times New Roman"/>
                <w:b/>
                <w:bCs/>
                <w:color w:val="auto"/>
                <w:sz w:val="24"/>
                <w:highlight w:val="none"/>
                <w:lang w:eastAsia="zh-CN"/>
              </w:rPr>
              <w:t>比上年</w:t>
            </w:r>
            <w:r>
              <w:rPr>
                <w:rFonts w:hint="eastAsia" w:ascii="Times New Roman" w:hAnsi="Times New Roman" w:cs="Times New Roman"/>
                <w:b/>
                <w:bCs/>
                <w:color w:val="auto"/>
                <w:sz w:val="24"/>
                <w:highlight w:val="none"/>
              </w:rPr>
              <w:t>增长%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2269" w:type="dxa"/>
            <w:tcBorders>
              <w:top w:val="single" w:color="auto" w:sz="4" w:space="0"/>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ind w:left="525" w:leftChars="250"/>
              <w:jc w:val="left"/>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货物运输总量</w:t>
            </w:r>
          </w:p>
        </w:tc>
        <w:tc>
          <w:tcPr>
            <w:tcW w:w="1649" w:type="dxa"/>
            <w:tcBorders>
              <w:top w:val="single" w:color="auto" w:sz="4" w:space="0"/>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w:t>
            </w:r>
          </w:p>
        </w:tc>
        <w:tc>
          <w:tcPr>
            <w:tcW w:w="1960" w:type="dxa"/>
            <w:tcBorders>
              <w:top w:val="single" w:color="auto" w:sz="4" w:space="0"/>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2.60</w:t>
            </w:r>
          </w:p>
        </w:tc>
        <w:tc>
          <w:tcPr>
            <w:tcW w:w="1960" w:type="dxa"/>
            <w:tcBorders>
              <w:top w:val="single" w:color="auto" w:sz="4" w:space="0"/>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w:t>
            </w:r>
            <w:r>
              <w:rPr>
                <w:rStyle w:val="39"/>
                <w:rFonts w:hint="default" w:ascii="Times New Roman" w:hAnsi="Times New Roman"/>
                <w:color w:val="auto"/>
                <w:highlight w:val="none"/>
                <w:lang w:bidi="ar"/>
              </w:rPr>
              <w:t>铁路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default" w:ascii="Times New Roman" w:hAnsi="Times New Roman" w:cs="宋体"/>
                <w:color w:val="auto"/>
                <w:sz w:val="20"/>
                <w:szCs w:val="20"/>
                <w:highlight w:val="none"/>
                <w:lang w:val="en-US"/>
              </w:rPr>
            </w:pPr>
            <w:r>
              <w:rPr>
                <w:rFonts w:hint="default" w:ascii="Nimbus Roman No9 L" w:hAnsi="Nimbus Roman No9 L" w:eastAsia="宋体" w:cs="Nimbus Roman No9 L"/>
                <w:i w:val="0"/>
                <w:iCs w:val="0"/>
                <w:color w:val="000000"/>
                <w:kern w:val="0"/>
                <w:sz w:val="22"/>
                <w:szCs w:val="22"/>
                <w:u w:val="none"/>
                <w:lang w:val="en-US" w:eastAsia="zh-CN" w:bidi="ar"/>
              </w:rPr>
              <w:t>0.80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水运</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0.26</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-25.6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公路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w:t>
            </w:r>
          </w:p>
        </w:tc>
        <w:tc>
          <w:tcPr>
            <w:tcW w:w="1960" w:type="dxa"/>
            <w:tcBorders>
              <w:top w:val="nil"/>
              <w:left w:val="single" w:color="auto" w:sz="4" w:space="0"/>
              <w:bottom w:val="nil"/>
              <w:right w:val="single" w:color="auto" w:sz="4" w:space="0"/>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1.54</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ind w:left="525" w:leftChars="250"/>
              <w:jc w:val="left"/>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货物运输周转量</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983.80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w:t>
            </w:r>
            <w:r>
              <w:rPr>
                <w:rStyle w:val="39"/>
                <w:rFonts w:hint="default" w:ascii="Times New Roman" w:hAnsi="Times New Roman"/>
                <w:color w:val="auto"/>
                <w:highlight w:val="none"/>
                <w:lang w:bidi="ar"/>
              </w:rPr>
              <w:t>铁路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eastAsia" w:ascii="Times New Roman" w:hAnsi="Times New Roman" w:eastAsia="宋体" w:cs="宋体"/>
                <w:color w:val="auto"/>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124.37</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水运</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122.50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-27.9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公路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亿吨公里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736.93</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ind w:left="525" w:leftChars="250"/>
              <w:jc w:val="left"/>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旅客运输总量</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万人</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eastAsia" w:ascii="Times New Roman" w:hAnsi="Times New Roman" w:eastAsia="宋体" w:cs="宋体"/>
                <w:color w:val="auto"/>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11250.67</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w:t>
            </w:r>
            <w:r>
              <w:rPr>
                <w:rStyle w:val="39"/>
                <w:rFonts w:hint="default" w:ascii="Times New Roman" w:hAnsi="Times New Roman"/>
                <w:color w:val="auto"/>
                <w:highlight w:val="none"/>
                <w:lang w:bidi="ar"/>
              </w:rPr>
              <w:t>铁路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万人</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default" w:ascii="Times New Roman" w:hAnsi="Times New Roman" w:cs="宋体"/>
                <w:color w:val="auto"/>
                <w:sz w:val="20"/>
                <w:szCs w:val="20"/>
                <w:highlight w:val="none"/>
                <w:lang w:val="en-US"/>
              </w:rPr>
            </w:pPr>
            <w:r>
              <w:rPr>
                <w:rFonts w:hint="default" w:ascii="Nimbus Roman No9 L" w:hAnsi="Nimbus Roman No9 L" w:eastAsia="宋体" w:cs="Nimbus Roman No9 L"/>
                <w:i w:val="0"/>
                <w:iCs w:val="0"/>
                <w:color w:val="000000"/>
                <w:kern w:val="0"/>
                <w:sz w:val="22"/>
                <w:szCs w:val="22"/>
                <w:u w:val="none"/>
                <w:lang w:val="en-US" w:eastAsia="zh-CN" w:bidi="ar"/>
              </w:rPr>
              <w:t>189.30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cs="宋体"/>
                <w:color w:val="auto"/>
                <w:kern w:val="0"/>
                <w:sz w:val="20"/>
                <w:szCs w:val="20"/>
                <w:highlight w:val="none"/>
                <w:lang w:val="en-US" w:eastAsia="zh-CN" w:bidi="ar"/>
              </w:rPr>
            </w:pPr>
            <w:r>
              <w:rPr>
                <w:rFonts w:hint="eastAsia" w:ascii="Times New Roman" w:hAnsi="Times New Roman" w:cs="宋体"/>
                <w:color w:val="auto"/>
                <w:kern w:val="0"/>
                <w:sz w:val="20"/>
                <w:szCs w:val="20"/>
                <w:highlight w:val="none"/>
                <w:lang w:val="en-US" w:eastAsia="zh-CN" w:bidi="ar"/>
              </w:rPr>
              <w:t xml:space="preserve"> 高铁</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cs="宋体"/>
                <w:color w:val="auto"/>
                <w:kern w:val="0"/>
                <w:sz w:val="20"/>
                <w:szCs w:val="20"/>
                <w:highlight w:val="none"/>
                <w:lang w:bidi="ar"/>
              </w:rPr>
            </w:pPr>
            <w:r>
              <w:rPr>
                <w:rFonts w:hint="eastAsia" w:ascii="Times New Roman" w:hAnsi="Times New Roman" w:cs="宋体"/>
                <w:color w:val="auto"/>
                <w:kern w:val="0"/>
                <w:sz w:val="20"/>
                <w:szCs w:val="20"/>
                <w:highlight w:val="none"/>
                <w:lang w:bidi="ar"/>
              </w:rPr>
              <w:t>万人</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default" w:ascii="Times New Roman" w:hAnsi="Times New Roman" w:cs="宋体"/>
                <w:i w:val="0"/>
                <w:iCs w:val="0"/>
                <w:color w:val="auto"/>
                <w:kern w:val="0"/>
                <w:sz w:val="20"/>
                <w:szCs w:val="20"/>
                <w:highlight w:val="none"/>
                <w:u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598.40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cs="宋体"/>
                <w:color w:val="auto"/>
                <w:kern w:val="2"/>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水运</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万人</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27.97</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-18.2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公路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万人</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eastAsia" w:ascii="Times New Roman" w:hAnsi="Times New Roman" w:eastAsia="宋体" w:cs="宋体"/>
                <w:color w:val="auto"/>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10435.0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ind w:left="525" w:leftChars="250"/>
              <w:jc w:val="left"/>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旅客运输周转量</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亿人公里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70.43</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ascii="Times New Roman" w:hAnsi="Times New Roman" w:cs="宋体"/>
                <w:color w:val="auto"/>
                <w:sz w:val="20"/>
                <w:szCs w:val="20"/>
                <w:highlight w:val="none"/>
                <w:lang w:val="en"/>
              </w:rPr>
            </w:pPr>
            <w:r>
              <w:rPr>
                <w:rFonts w:hint="default" w:ascii="Nimbus Roman No9 L" w:hAnsi="Nimbus Roman No9 L" w:eastAsia="宋体" w:cs="Nimbus Roman No9 L"/>
                <w:i w:val="0"/>
                <w:iCs w:val="0"/>
                <w:color w:val="000000"/>
                <w:kern w:val="0"/>
                <w:sz w:val="22"/>
                <w:szCs w:val="22"/>
                <w:u w:val="none"/>
                <w:lang w:val="en-US" w:eastAsia="zh-CN" w:bidi="ar"/>
              </w:rPr>
              <w:t>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w:t>
            </w:r>
            <w:r>
              <w:rPr>
                <w:rStyle w:val="39"/>
                <w:rFonts w:hint="default" w:ascii="Times New Roman" w:hAnsi="Times New Roman"/>
                <w:color w:val="auto"/>
                <w:highlight w:val="none"/>
                <w:lang w:bidi="ar"/>
              </w:rPr>
              <w:t>铁路</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亿人公里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hint="eastAsia" w:ascii="Times New Roman" w:hAnsi="Times New Roman" w:eastAsia="宋体" w:cs="宋体"/>
                <w:color w:val="auto"/>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1.70</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269" w:type="dxa"/>
            <w:tcBorders>
              <w:top w:val="nil"/>
              <w:left w:val="nil"/>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Style w:val="39"/>
                <w:rFonts w:hint="eastAsia" w:ascii="Times New Roman" w:hAnsi="Times New Roman"/>
                <w:color w:val="auto"/>
                <w:highlight w:val="none"/>
                <w:lang w:val="en-US" w:eastAsia="zh-CN" w:bidi="ar"/>
              </w:rPr>
              <w:t xml:space="preserve"> </w:t>
            </w:r>
            <w:r>
              <w:rPr>
                <w:rStyle w:val="39"/>
                <w:rFonts w:hint="default" w:ascii="Times New Roman" w:hAnsi="Times New Roman"/>
                <w:color w:val="auto"/>
                <w:highlight w:val="none"/>
                <w:lang w:bidi="ar"/>
              </w:rPr>
              <w:t>水运</w:t>
            </w:r>
          </w:p>
        </w:tc>
        <w:tc>
          <w:tcPr>
            <w:tcW w:w="1649" w:type="dxa"/>
            <w:tcBorders>
              <w:top w:val="nil"/>
              <w:left w:val="single" w:color="auto" w:sz="4" w:space="0"/>
              <w:bottom w:val="nil"/>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亿人公里</w:t>
            </w:r>
          </w:p>
        </w:tc>
        <w:tc>
          <w:tcPr>
            <w:tcW w:w="1960" w:type="dxa"/>
            <w:tcBorders>
              <w:top w:val="nil"/>
              <w:left w:val="single" w:color="auto" w:sz="4" w:space="0"/>
              <w:bottom w:val="nil"/>
              <w:right w:val="single" w:color="auto" w:sz="4" w:space="0"/>
            </w:tcBorders>
            <w:vAlign w:val="top"/>
          </w:tcPr>
          <w:p>
            <w:pPr>
              <w:keepNext w:val="0"/>
              <w:keepLines w:val="0"/>
              <w:widowControl/>
              <w:suppressLineNumbers w:val="0"/>
              <w:jc w:val="center"/>
              <w:textAlignment w:val="top"/>
              <w:rPr>
                <w:rFonts w:ascii="Times New Roman" w:hAnsi="Times New Roman" w:cs="宋体"/>
                <w:color w:val="auto"/>
                <w:sz w:val="20"/>
                <w:szCs w:val="20"/>
                <w:highlight w:val="none"/>
              </w:rPr>
            </w:pPr>
            <w:r>
              <w:rPr>
                <w:rFonts w:hint="default" w:ascii="Nimbus Roman No9 L" w:hAnsi="Nimbus Roman No9 L" w:eastAsia="宋体" w:cs="Nimbus Roman No9 L"/>
                <w:i w:val="0"/>
                <w:iCs w:val="0"/>
                <w:color w:val="000000"/>
                <w:kern w:val="0"/>
                <w:sz w:val="22"/>
                <w:szCs w:val="22"/>
                <w:u w:val="none"/>
                <w:lang w:val="en-US" w:eastAsia="zh-CN" w:bidi="ar"/>
              </w:rPr>
              <w:t>0.01</w:t>
            </w:r>
          </w:p>
        </w:tc>
        <w:tc>
          <w:tcPr>
            <w:tcW w:w="1960" w:type="dxa"/>
            <w:tcBorders>
              <w:top w:val="nil"/>
              <w:left w:val="single" w:color="auto" w:sz="4" w:space="0"/>
              <w:bottom w:val="nil"/>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eastAsia="zh-CN"/>
              </w:rPr>
            </w:pPr>
            <w:r>
              <w:rPr>
                <w:rFonts w:hint="default" w:ascii="Nimbus Roman No9 L" w:hAnsi="Nimbus Roman No9 L" w:eastAsia="宋体" w:cs="Nimbus Roman No9 L"/>
                <w:i w:val="0"/>
                <w:iCs w:val="0"/>
                <w:color w:val="000000"/>
                <w:kern w:val="0"/>
                <w:sz w:val="22"/>
                <w:szCs w:val="22"/>
                <w:u w:val="none"/>
                <w:lang w:val="en-US" w:eastAsia="zh-CN" w:bidi="ar"/>
              </w:rPr>
              <w:t>-18.2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2269" w:type="dxa"/>
            <w:tcBorders>
              <w:top w:val="nil"/>
              <w:left w:val="nil"/>
              <w:bottom w:val="single" w:color="000000" w:sz="12"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val="en-US" w:eastAsia="zh-CN" w:bidi="ar"/>
              </w:rPr>
              <w:t xml:space="preserve"> </w:t>
            </w:r>
            <w:r>
              <w:rPr>
                <w:rFonts w:hint="eastAsia" w:ascii="Times New Roman" w:hAnsi="Times New Roman" w:cs="宋体"/>
                <w:color w:val="auto"/>
                <w:kern w:val="0"/>
                <w:sz w:val="20"/>
                <w:szCs w:val="20"/>
                <w:highlight w:val="none"/>
                <w:lang w:bidi="ar"/>
              </w:rPr>
              <w:t>公路</w:t>
            </w:r>
          </w:p>
        </w:tc>
        <w:tc>
          <w:tcPr>
            <w:tcW w:w="1649" w:type="dxa"/>
            <w:tcBorders>
              <w:top w:val="nil"/>
              <w:left w:val="single" w:color="auto" w:sz="4" w:space="0"/>
              <w:bottom w:val="single" w:color="000000" w:sz="12"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ascii="Times New Roman" w:hAnsi="Times New Roman" w:cs="宋体"/>
                <w:color w:val="auto"/>
                <w:sz w:val="20"/>
                <w:szCs w:val="20"/>
                <w:highlight w:val="none"/>
              </w:rPr>
            </w:pPr>
            <w:r>
              <w:rPr>
                <w:rFonts w:hint="eastAsia" w:ascii="Times New Roman" w:hAnsi="Times New Roman" w:cs="宋体"/>
                <w:color w:val="auto"/>
                <w:kern w:val="0"/>
                <w:sz w:val="20"/>
                <w:szCs w:val="20"/>
                <w:highlight w:val="none"/>
                <w:lang w:bidi="ar"/>
              </w:rPr>
              <w:t>亿人公里</w:t>
            </w:r>
          </w:p>
        </w:tc>
        <w:tc>
          <w:tcPr>
            <w:tcW w:w="1960" w:type="dxa"/>
            <w:tcBorders>
              <w:top w:val="nil"/>
              <w:left w:val="single" w:color="auto" w:sz="4" w:space="0"/>
              <w:bottom w:val="single" w:color="000000" w:sz="12" w:space="0"/>
              <w:right w:val="single" w:color="auto" w:sz="4" w:space="0"/>
            </w:tcBorders>
            <w:vAlign w:val="top"/>
          </w:tcPr>
          <w:p>
            <w:pPr>
              <w:keepNext w:val="0"/>
              <w:keepLines w:val="0"/>
              <w:widowControl/>
              <w:suppressLineNumbers w:val="0"/>
              <w:jc w:val="center"/>
              <w:textAlignment w:val="top"/>
              <w:rPr>
                <w:rFonts w:hint="default" w:ascii="Times New Roman" w:hAnsi="Times New Roman" w:eastAsia="宋体" w:cs="宋体"/>
                <w:color w:val="auto"/>
                <w:sz w:val="20"/>
                <w:szCs w:val="20"/>
                <w:highlight w:val="none"/>
                <w:lang w:val="en-US" w:eastAsia="zh-CN"/>
              </w:rPr>
            </w:pPr>
            <w:r>
              <w:rPr>
                <w:rFonts w:hint="default" w:ascii="Nimbus Roman No9 L" w:hAnsi="Nimbus Roman No9 L" w:eastAsia="宋体" w:cs="Nimbus Roman No9 L"/>
                <w:i w:val="0"/>
                <w:iCs w:val="0"/>
                <w:color w:val="000000"/>
                <w:kern w:val="0"/>
                <w:sz w:val="22"/>
                <w:szCs w:val="22"/>
                <w:u w:val="none"/>
                <w:lang w:val="en-US" w:eastAsia="zh-CN" w:bidi="ar"/>
              </w:rPr>
              <w:t>68.71</w:t>
            </w:r>
          </w:p>
        </w:tc>
        <w:tc>
          <w:tcPr>
            <w:tcW w:w="1960" w:type="dxa"/>
            <w:tcBorders>
              <w:top w:val="nil"/>
              <w:left w:val="single" w:color="auto" w:sz="4" w:space="0"/>
              <w:bottom w:val="single" w:color="000000" w:sz="12" w:space="0"/>
              <w:right w:val="nil"/>
            </w:tcBorders>
            <w:vAlign w:val="center"/>
          </w:tcPr>
          <w:p>
            <w:pPr>
              <w:keepNext w:val="0"/>
              <w:keepLines w:val="0"/>
              <w:widowControl/>
              <w:suppressLineNumbers w:val="0"/>
              <w:jc w:val="center"/>
              <w:textAlignment w:val="center"/>
              <w:rPr>
                <w:rFonts w:hint="eastAsia" w:ascii="Times New Roman" w:hAnsi="Times New Roman" w:eastAsia="宋体" w:cs="宋体"/>
                <w:color w:val="auto"/>
                <w:sz w:val="20"/>
                <w:szCs w:val="20"/>
                <w:highlight w:val="none"/>
                <w:lang w:val="en" w:eastAsia="zh-CN"/>
              </w:rPr>
            </w:pPr>
            <w:r>
              <w:rPr>
                <w:rFonts w:hint="default" w:ascii="Nimbus Roman No9 L" w:hAnsi="Nimbus Roman No9 L" w:eastAsia="宋体" w:cs="Nimbus Roman No9 L"/>
                <w:i w:val="0"/>
                <w:iCs w:val="0"/>
                <w:color w:val="000000"/>
                <w:kern w:val="0"/>
                <w:sz w:val="22"/>
                <w:szCs w:val="22"/>
                <w:u w:val="none"/>
                <w:lang w:val="en-US" w:eastAsia="zh-CN" w:bidi="ar"/>
              </w:rPr>
              <w:t>5.9</w:t>
            </w:r>
          </w:p>
        </w:tc>
      </w:tr>
    </w:tbl>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olor w:val="0070C0"/>
          <w:kern w:val="1"/>
          <w:highlight w:val="none"/>
        </w:rPr>
      </w:pPr>
      <w:r>
        <w:rPr>
          <w:rFonts w:hint="eastAsia" w:ascii="Times New Roman" w:hAnsi="Times New Roman"/>
          <w:color w:val="auto"/>
          <w:kern w:val="1"/>
          <w:highlight w:val="none"/>
          <w:shd w:val="clear" w:color="auto" w:fill="auto"/>
          <w:lang w:eastAsia="zh-CN"/>
        </w:rPr>
        <w:t>全年</w:t>
      </w:r>
      <w:r>
        <w:rPr>
          <w:rFonts w:hint="eastAsia" w:ascii="Times New Roman" w:hAnsi="Times New Roman"/>
          <w:color w:val="auto"/>
          <w:kern w:val="1"/>
          <w:highlight w:val="none"/>
          <w:shd w:val="clear" w:color="auto" w:fill="auto"/>
        </w:rPr>
        <w:t>全市邮政行业业务总量累计完成64.21亿标准量，比上年增长34.6%，其中快递业务总量6.4</w:t>
      </w:r>
      <w:r>
        <w:rPr>
          <w:rFonts w:hint="eastAsia" w:ascii="Times New Roman" w:hAnsi="Times New Roman"/>
          <w:color w:val="auto"/>
          <w:kern w:val="1"/>
          <w:highlight w:val="none"/>
          <w:shd w:val="clear" w:color="auto" w:fill="auto"/>
          <w:lang w:val="en-US" w:eastAsia="zh-CN"/>
        </w:rPr>
        <w:t>0</w:t>
      </w:r>
      <w:r>
        <w:rPr>
          <w:rFonts w:hint="eastAsia" w:ascii="Times New Roman" w:hAnsi="Times New Roman"/>
          <w:color w:val="auto"/>
          <w:kern w:val="1"/>
          <w:highlight w:val="none"/>
          <w:shd w:val="clear" w:color="auto" w:fill="auto"/>
        </w:rPr>
        <w:t>亿件，增长52</w:t>
      </w:r>
      <w:r>
        <w:rPr>
          <w:rFonts w:hint="default" w:ascii="Times New Roman" w:hAnsi="Times New Roman"/>
          <w:color w:val="auto"/>
          <w:kern w:val="1"/>
          <w:highlight w:val="none"/>
          <w:shd w:val="clear" w:color="auto" w:fill="auto"/>
          <w:lang w:val="en-US"/>
        </w:rPr>
        <w:t>.0</w:t>
      </w:r>
      <w:r>
        <w:rPr>
          <w:rFonts w:hint="eastAsia" w:ascii="Times New Roman" w:hAnsi="Times New Roman"/>
          <w:color w:val="auto"/>
          <w:kern w:val="1"/>
          <w:highlight w:val="none"/>
          <w:shd w:val="clear" w:color="auto" w:fill="auto"/>
        </w:rPr>
        <w:t>%。电信业务总量71</w:t>
      </w:r>
      <w:r>
        <w:rPr>
          <w:rFonts w:hint="eastAsia" w:ascii="Times New Roman" w:hAnsi="Times New Roman"/>
          <w:color w:val="auto"/>
          <w:kern w:val="1"/>
          <w:highlight w:val="none"/>
          <w:shd w:val="clear" w:color="auto" w:fill="auto"/>
          <w:lang w:val="en-US" w:eastAsia="zh-CN"/>
        </w:rPr>
        <w:t>.18亿</w:t>
      </w:r>
      <w:r>
        <w:rPr>
          <w:rFonts w:hint="eastAsia" w:ascii="Times New Roman" w:hAnsi="Times New Roman"/>
          <w:color w:val="auto"/>
          <w:kern w:val="1"/>
          <w:highlight w:val="none"/>
          <w:shd w:val="clear" w:color="auto" w:fill="auto"/>
        </w:rPr>
        <w:t>元，增长9.1%。移动电话用户817.2万户。年末互联网用户348.8万户。全年新开通5G基站2514个，5G基站数达14185座，全市5G移动电话用户总数达到570.1万户。</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0" w:firstLineChars="0"/>
        <w:jc w:val="center"/>
        <w:textAlignment w:val="auto"/>
        <w:rPr>
          <w:rFonts w:ascii="Times New Roman" w:hAnsi="Times New Roman" w:cs="Times New Roman"/>
          <w:b/>
          <w:color w:val="auto"/>
          <w:kern w:val="1"/>
          <w:sz w:val="28"/>
          <w:szCs w:val="28"/>
          <w:highlight w:val="none"/>
        </w:rPr>
      </w:pPr>
      <w:r>
        <w:rPr>
          <w:rFonts w:hint="eastAsia" w:ascii="Times New Roman" w:hAnsi="Times New Roman" w:cs="Times New Roman"/>
          <w:b/>
          <w:color w:val="auto"/>
          <w:sz w:val="28"/>
          <w:szCs w:val="28"/>
          <w:highlight w:val="none"/>
          <w:lang w:eastAsia="zh-CN"/>
        </w:rPr>
        <w:t>六</w:t>
      </w:r>
      <w:r>
        <w:rPr>
          <w:rFonts w:ascii="Times New Roman" w:hAnsi="Times New Roman" w:cs="Times New Roman"/>
          <w:b/>
          <w:color w:val="auto"/>
          <w:sz w:val="28"/>
          <w:szCs w:val="28"/>
          <w:highlight w:val="none"/>
        </w:rPr>
        <w:t>、国内贸易和对外经济</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s="Times New Roman"/>
          <w:color w:val="auto"/>
          <w:kern w:val="0"/>
          <w:sz w:val="24"/>
          <w:highlight w:val="none"/>
          <w:lang w:val="zh-CN"/>
        </w:rPr>
      </w:pPr>
      <w:r>
        <w:rPr>
          <w:rFonts w:hint="eastAsia" w:ascii="Times New Roman" w:hAnsi="Times New Roman" w:cs="Times New Roman"/>
          <w:color w:val="auto"/>
          <w:kern w:val="0"/>
          <w:sz w:val="24"/>
          <w:highlight w:val="none"/>
          <w:lang w:val="zh-CN"/>
        </w:rPr>
        <w:t>全年全市社会消费品零售总额2280.58亿元，比上年增长5.8%。按销售单位所在地分，城镇消费品零售额1883.52亿元，增长5.8%，其中城区消费品零售额848.54亿元，增长5.9%。乡村消费品零售额397.06亿元，增长6.0%。按行业分，批发业零售额319.5</w:t>
      </w:r>
      <w:r>
        <w:rPr>
          <w:rFonts w:hint="eastAsia" w:ascii="Times New Roman" w:hAnsi="Times New Roman" w:cs="Times New Roman"/>
          <w:color w:val="auto"/>
          <w:kern w:val="0"/>
          <w:sz w:val="24"/>
          <w:highlight w:val="none"/>
          <w:lang w:val="en-US" w:eastAsia="zh-CN"/>
        </w:rPr>
        <w:t>0</w:t>
      </w:r>
      <w:r>
        <w:rPr>
          <w:rFonts w:hint="eastAsia" w:ascii="Times New Roman" w:hAnsi="Times New Roman" w:cs="Times New Roman"/>
          <w:color w:val="auto"/>
          <w:kern w:val="0"/>
          <w:sz w:val="24"/>
          <w:highlight w:val="none"/>
          <w:lang w:val="zh-CN"/>
        </w:rPr>
        <w:t>亿元，增长5.8%；零售业零售额1453.33亿元，增长5.7%；住宿业零售额27.69亿元，增长6.2%；餐饮业零售额480.06亿元，增长6.1%。</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s="Times New Roman"/>
          <w:color w:val="auto"/>
          <w:kern w:val="0"/>
          <w:sz w:val="24"/>
          <w:highlight w:val="none"/>
          <w:lang w:val="zh-CN"/>
        </w:rPr>
      </w:pPr>
      <w:r>
        <w:rPr>
          <w:rFonts w:hint="eastAsia" w:ascii="Times New Roman" w:hAnsi="Times New Roman" w:cs="Times New Roman"/>
          <w:color w:val="auto"/>
          <w:kern w:val="0"/>
          <w:sz w:val="24"/>
          <w:highlight w:val="none"/>
          <w:lang w:val="zh-CN"/>
        </w:rPr>
        <w:t>全年全市限额以上单位消费品零售额</w:t>
      </w:r>
      <w:r>
        <w:rPr>
          <w:rFonts w:hint="eastAsia" w:ascii="Times New Roman" w:hAnsi="Times New Roman" w:cs="Times New Roman"/>
          <w:color w:val="auto"/>
          <w:kern w:val="0"/>
          <w:sz w:val="24"/>
          <w:highlight w:val="none"/>
          <w:lang w:val="en-US" w:eastAsia="zh-CN"/>
        </w:rPr>
        <w:t>479.42</w:t>
      </w:r>
      <w:r>
        <w:rPr>
          <w:rFonts w:hint="eastAsia" w:ascii="Times New Roman" w:hAnsi="Times New Roman" w:cs="Times New Roman"/>
          <w:color w:val="auto"/>
          <w:kern w:val="0"/>
          <w:sz w:val="24"/>
          <w:highlight w:val="none"/>
          <w:lang w:val="zh-CN"/>
        </w:rPr>
        <w:t>亿元，比上年增长</w:t>
      </w:r>
      <w:r>
        <w:rPr>
          <w:rFonts w:hint="eastAsia" w:ascii="Times New Roman" w:hAnsi="Times New Roman" w:cs="Times New Roman"/>
          <w:color w:val="auto"/>
          <w:kern w:val="0"/>
          <w:sz w:val="24"/>
          <w:highlight w:val="none"/>
          <w:lang w:val="en-US" w:eastAsia="zh-CN"/>
        </w:rPr>
        <w:t>12.5</w:t>
      </w:r>
      <w:r>
        <w:rPr>
          <w:rFonts w:hint="eastAsia" w:ascii="Times New Roman" w:hAnsi="Times New Roman" w:cs="Times New Roman"/>
          <w:color w:val="auto"/>
          <w:kern w:val="0"/>
          <w:sz w:val="24"/>
          <w:highlight w:val="none"/>
          <w:lang w:val="zh-CN"/>
        </w:rPr>
        <w:t>%。其中，粮油、食品类增长27.9%，日用品类增长49.4%，饮料类增长32.8%，通讯器材类增长96.1%，家具类增长85.9%，体育娱乐用品类增长31.9%，汽车类增长28.4%，家用电器和音像器材类增长21.4%，建筑及装潢材料类增长19.5%；智能手机增长98.0%，可穿戴智能设备增长70.5%，新能源汽车增长43.1%，智能家用电器和音像器材增长19.6%。</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eastAsia="宋体"/>
          <w:color w:val="0000FF"/>
          <w:kern w:val="1"/>
          <w:highlight w:val="none"/>
          <w:lang w:eastAsia="zh-CN"/>
        </w:rPr>
      </w:pPr>
      <w:r>
        <w:rPr>
          <w:rFonts w:hint="eastAsia" w:ascii="Times New Roman" w:hAnsi="Times New Roman" w:cs="Times New Roman"/>
          <w:color w:val="auto"/>
          <w:kern w:val="0"/>
          <w:sz w:val="24"/>
          <w:highlight w:val="none"/>
          <w:lang w:val="zh-CN"/>
        </w:rPr>
        <w:t>全年全市货物进出口总值74.8亿元，比上年下降10.5%。其中，出口45.8亿元，下降19.7%；进口29亿元，增长9.1%。</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color w:val="auto"/>
          <w:sz w:val="28"/>
          <w:szCs w:val="28"/>
          <w:highlight w:val="none"/>
        </w:rPr>
      </w:pPr>
      <w:r>
        <w:rPr>
          <w:rFonts w:ascii="Times New Roman" w:hAnsi="Times New Roman" w:cs="Times New Roman"/>
          <w:b/>
          <w:bCs/>
          <w:color w:val="auto"/>
          <w:sz w:val="28"/>
          <w:szCs w:val="28"/>
          <w:highlight w:val="none"/>
        </w:rPr>
        <w:t>七、财政</w:t>
      </w:r>
      <w:r>
        <w:rPr>
          <w:rFonts w:hint="eastAsia" w:ascii="Times New Roman" w:hAnsi="Times New Roman" w:cs="Times New Roman"/>
          <w:b/>
          <w:bCs/>
          <w:color w:val="auto"/>
          <w:sz w:val="28"/>
          <w:szCs w:val="28"/>
          <w:highlight w:val="none"/>
        </w:rPr>
        <w:t>和</w:t>
      </w:r>
      <w:r>
        <w:rPr>
          <w:rFonts w:ascii="Times New Roman" w:hAnsi="Times New Roman" w:cs="Times New Roman"/>
          <w:b/>
          <w:bCs/>
          <w:color w:val="auto"/>
          <w:sz w:val="28"/>
          <w:szCs w:val="28"/>
          <w:highlight w:val="none"/>
        </w:rPr>
        <w:t>金融</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olor w:val="auto"/>
          <w:kern w:val="1"/>
          <w:highlight w:val="none"/>
        </w:rPr>
      </w:pPr>
      <w:r>
        <w:rPr>
          <w:rFonts w:hint="eastAsia" w:ascii="Times New Roman" w:hAnsi="Times New Roman"/>
          <w:color w:val="auto"/>
          <w:kern w:val="1"/>
          <w:highlight w:val="none"/>
        </w:rPr>
        <w:t>全年全市地方财政总收入</w:t>
      </w:r>
      <w:r>
        <w:rPr>
          <w:rFonts w:hint="eastAsia" w:ascii="Times New Roman" w:hAnsi="Times New Roman"/>
          <w:color w:val="auto"/>
          <w:kern w:val="1"/>
          <w:highlight w:val="none"/>
          <w:lang w:val="en-US" w:eastAsia="zh-CN"/>
        </w:rPr>
        <w:t>295.32</w:t>
      </w:r>
      <w:r>
        <w:rPr>
          <w:rFonts w:hint="eastAsia" w:ascii="Times New Roman" w:hAnsi="Times New Roman"/>
          <w:color w:val="auto"/>
          <w:kern w:val="1"/>
          <w:highlight w:val="none"/>
        </w:rPr>
        <w:t>亿元，</w:t>
      </w:r>
      <w:r>
        <w:rPr>
          <w:rFonts w:hint="eastAsia" w:ascii="Times New Roman" w:hAnsi="Times New Roman"/>
          <w:color w:val="auto"/>
          <w:kern w:val="1"/>
          <w:highlight w:val="none"/>
          <w:lang w:eastAsia="zh-CN"/>
        </w:rPr>
        <w:t>比上年下降</w:t>
      </w:r>
      <w:r>
        <w:rPr>
          <w:rFonts w:hint="eastAsia" w:ascii="Times New Roman" w:hAnsi="Times New Roman"/>
          <w:color w:val="auto"/>
          <w:kern w:val="1"/>
          <w:highlight w:val="none"/>
          <w:lang w:val="en-US" w:eastAsia="zh-CN"/>
        </w:rPr>
        <w:t>3.4</w:t>
      </w:r>
      <w:r>
        <w:rPr>
          <w:rFonts w:hint="eastAsia" w:ascii="Times New Roman" w:hAnsi="Times New Roman"/>
          <w:color w:val="auto"/>
          <w:kern w:val="1"/>
          <w:highlight w:val="none"/>
        </w:rPr>
        <w:t>%。一般公共预算收入</w:t>
      </w:r>
      <w:r>
        <w:rPr>
          <w:rFonts w:hint="eastAsia" w:ascii="Times New Roman" w:hAnsi="Times New Roman"/>
          <w:color w:val="auto"/>
          <w:kern w:val="1"/>
          <w:highlight w:val="none"/>
          <w:lang w:val="en-US" w:eastAsia="zh-CN"/>
        </w:rPr>
        <w:t>220.64</w:t>
      </w:r>
      <w:r>
        <w:rPr>
          <w:rFonts w:hint="eastAsia" w:ascii="Times New Roman" w:hAnsi="Times New Roman"/>
          <w:color w:val="auto"/>
          <w:kern w:val="1"/>
          <w:highlight w:val="none"/>
        </w:rPr>
        <w:t>亿元，增长</w:t>
      </w:r>
      <w:r>
        <w:rPr>
          <w:rFonts w:hint="eastAsia" w:ascii="Times New Roman" w:hAnsi="Times New Roman"/>
          <w:color w:val="auto"/>
          <w:kern w:val="1"/>
          <w:highlight w:val="none"/>
          <w:lang w:val="en-US" w:eastAsia="zh-CN"/>
        </w:rPr>
        <w:t>4.1</w:t>
      </w:r>
      <w:r>
        <w:rPr>
          <w:rFonts w:hint="eastAsia" w:ascii="Times New Roman" w:hAnsi="Times New Roman"/>
          <w:color w:val="auto"/>
          <w:kern w:val="1"/>
          <w:highlight w:val="none"/>
        </w:rPr>
        <w:t>%</w:t>
      </w:r>
      <w:r>
        <w:rPr>
          <w:rFonts w:hint="eastAsia" w:ascii="Times New Roman" w:hAnsi="Times New Roman"/>
          <w:color w:val="auto"/>
          <w:kern w:val="1"/>
          <w:highlight w:val="none"/>
          <w:lang w:eastAsia="zh-CN"/>
        </w:rPr>
        <w:t>，</w:t>
      </w:r>
      <w:r>
        <w:rPr>
          <w:rFonts w:hint="eastAsia" w:ascii="Times New Roman" w:hAnsi="Times New Roman"/>
          <w:color w:val="auto"/>
          <w:kern w:val="1"/>
          <w:highlight w:val="none"/>
        </w:rPr>
        <w:t>其中税收收入</w:t>
      </w:r>
      <w:r>
        <w:rPr>
          <w:rFonts w:hint="eastAsia" w:ascii="Times New Roman" w:hAnsi="Times New Roman"/>
          <w:color w:val="auto"/>
          <w:kern w:val="1"/>
          <w:highlight w:val="none"/>
          <w:lang w:val="en-US" w:eastAsia="zh-CN"/>
        </w:rPr>
        <w:t>121.30</w:t>
      </w:r>
      <w:r>
        <w:rPr>
          <w:rFonts w:hint="eastAsia" w:ascii="Times New Roman" w:hAnsi="Times New Roman"/>
          <w:color w:val="auto"/>
          <w:kern w:val="1"/>
          <w:highlight w:val="none"/>
        </w:rPr>
        <w:t>亿元，</w:t>
      </w:r>
      <w:r>
        <w:rPr>
          <w:rFonts w:hint="eastAsia" w:ascii="Times New Roman" w:hAnsi="Times New Roman"/>
          <w:color w:val="auto"/>
          <w:kern w:val="1"/>
          <w:highlight w:val="none"/>
          <w:lang w:eastAsia="zh-CN"/>
        </w:rPr>
        <w:t>下降</w:t>
      </w:r>
      <w:r>
        <w:rPr>
          <w:rFonts w:hint="eastAsia" w:ascii="Times New Roman" w:hAnsi="Times New Roman"/>
          <w:color w:val="auto"/>
          <w:kern w:val="1"/>
          <w:highlight w:val="none"/>
          <w:lang w:val="en-US" w:eastAsia="zh-CN"/>
        </w:rPr>
        <w:t>4.8%</w:t>
      </w:r>
      <w:r>
        <w:rPr>
          <w:rFonts w:hint="eastAsia" w:ascii="Times New Roman" w:hAnsi="Times New Roman"/>
          <w:color w:val="auto"/>
          <w:kern w:val="1"/>
          <w:highlight w:val="none"/>
        </w:rPr>
        <w:t>。一般公共预算支出</w:t>
      </w:r>
      <w:r>
        <w:rPr>
          <w:rFonts w:hint="eastAsia" w:ascii="Times New Roman" w:hAnsi="Times New Roman"/>
          <w:color w:val="auto"/>
          <w:kern w:val="1"/>
          <w:highlight w:val="none"/>
          <w:lang w:val="en-US" w:eastAsia="zh-CN"/>
        </w:rPr>
        <w:t>686.48</w:t>
      </w:r>
      <w:r>
        <w:rPr>
          <w:rFonts w:hint="eastAsia" w:ascii="Times New Roman" w:hAnsi="Times New Roman"/>
          <w:color w:val="auto"/>
          <w:kern w:val="1"/>
          <w:highlight w:val="none"/>
        </w:rPr>
        <w:t>亿元，</w:t>
      </w:r>
      <w:r>
        <w:rPr>
          <w:rFonts w:hint="eastAsia" w:ascii="Times New Roman" w:hAnsi="Times New Roman"/>
          <w:color w:val="auto"/>
          <w:kern w:val="1"/>
          <w:highlight w:val="none"/>
          <w:lang w:eastAsia="zh-CN"/>
        </w:rPr>
        <w:t>下降</w:t>
      </w:r>
      <w:r>
        <w:rPr>
          <w:rFonts w:hint="eastAsia" w:ascii="Times New Roman" w:hAnsi="Times New Roman"/>
          <w:color w:val="auto"/>
          <w:kern w:val="1"/>
          <w:highlight w:val="none"/>
          <w:lang w:val="en-US" w:eastAsia="zh-CN"/>
        </w:rPr>
        <w:t>0.8</w:t>
      </w:r>
      <w:r>
        <w:rPr>
          <w:rFonts w:hint="eastAsia" w:ascii="Times New Roman" w:hAnsi="Times New Roman"/>
          <w:color w:val="auto"/>
          <w:kern w:val="1"/>
          <w:highlight w:val="none"/>
        </w:rPr>
        <w:t>%。</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ascii="Times New Roman" w:hAnsi="Times New Roman" w:cs="Times New Roman"/>
          <w:b/>
          <w:color w:val="auto"/>
          <w:sz w:val="28"/>
          <w:szCs w:val="28"/>
          <w:highlight w:val="none"/>
        </w:rPr>
      </w:pPr>
      <w:r>
        <w:rPr>
          <w:rFonts w:hint="eastAsia" w:ascii="Times New Roman" w:hAnsi="Times New Roman"/>
          <w:color w:val="auto"/>
          <w:kern w:val="1"/>
          <w:highlight w:val="none"/>
        </w:rPr>
        <w:t>年末全市金融机构</w:t>
      </w:r>
      <w:r>
        <w:rPr>
          <w:rFonts w:hint="eastAsia" w:ascii="Times New Roman" w:hAnsi="Times New Roman"/>
          <w:color w:val="auto"/>
          <w:kern w:val="1"/>
          <w:highlight w:val="none"/>
          <w:lang w:eastAsia="zh-CN"/>
        </w:rPr>
        <w:t>人民</w:t>
      </w:r>
      <w:r>
        <w:rPr>
          <w:rFonts w:hint="eastAsia" w:ascii="Times New Roman" w:hAnsi="Times New Roman"/>
          <w:color w:val="auto"/>
          <w:kern w:val="1"/>
          <w:highlight w:val="none"/>
        </w:rPr>
        <w:t>币各项存款余额</w:t>
      </w:r>
      <w:r>
        <w:rPr>
          <w:rFonts w:hint="eastAsia" w:ascii="Times New Roman" w:hAnsi="Times New Roman"/>
          <w:color w:val="auto"/>
          <w:kern w:val="1"/>
          <w:highlight w:val="none"/>
          <w:lang w:val="en-US" w:eastAsia="zh-CN"/>
        </w:rPr>
        <w:t>6790.84</w:t>
      </w:r>
      <w:r>
        <w:rPr>
          <w:rFonts w:hint="eastAsia" w:ascii="Times New Roman" w:hAnsi="Times New Roman"/>
          <w:color w:val="auto"/>
          <w:kern w:val="1"/>
          <w:highlight w:val="none"/>
        </w:rPr>
        <w:t>亿元，比年初增加</w:t>
      </w:r>
      <w:r>
        <w:rPr>
          <w:rFonts w:hint="eastAsia" w:ascii="Times New Roman" w:hAnsi="Times New Roman"/>
          <w:color w:val="auto"/>
          <w:kern w:val="1"/>
          <w:highlight w:val="none"/>
          <w:lang w:val="en-US" w:eastAsia="zh-CN"/>
        </w:rPr>
        <w:t>558.00</w:t>
      </w:r>
      <w:r>
        <w:rPr>
          <w:rFonts w:hint="eastAsia" w:ascii="Times New Roman" w:hAnsi="Times New Roman"/>
          <w:color w:val="auto"/>
          <w:kern w:val="1"/>
          <w:highlight w:val="none"/>
        </w:rPr>
        <w:t>亿元。其中，住户存款余额</w:t>
      </w:r>
      <w:r>
        <w:rPr>
          <w:rFonts w:hint="eastAsia" w:ascii="Times New Roman" w:hAnsi="Times New Roman"/>
          <w:color w:val="auto"/>
          <w:kern w:val="1"/>
          <w:highlight w:val="none"/>
          <w:lang w:val="en-US" w:eastAsia="zh-CN"/>
        </w:rPr>
        <w:t>6036.02</w:t>
      </w:r>
      <w:r>
        <w:rPr>
          <w:rFonts w:hint="eastAsia" w:ascii="Times New Roman" w:hAnsi="Times New Roman"/>
          <w:color w:val="auto"/>
          <w:kern w:val="1"/>
          <w:highlight w:val="none"/>
        </w:rPr>
        <w:t>亿元，比年初增加</w:t>
      </w:r>
      <w:r>
        <w:rPr>
          <w:rFonts w:hint="eastAsia" w:ascii="Times New Roman" w:hAnsi="Times New Roman"/>
          <w:color w:val="auto"/>
          <w:kern w:val="1"/>
          <w:highlight w:val="none"/>
          <w:lang w:val="en-US" w:eastAsia="zh-CN"/>
        </w:rPr>
        <w:t>590.03</w:t>
      </w:r>
      <w:r>
        <w:rPr>
          <w:rFonts w:hint="eastAsia" w:ascii="Times New Roman" w:hAnsi="Times New Roman"/>
          <w:color w:val="auto"/>
          <w:kern w:val="1"/>
          <w:highlight w:val="none"/>
        </w:rPr>
        <w:t>亿元。金融机构</w:t>
      </w:r>
      <w:r>
        <w:rPr>
          <w:rFonts w:hint="eastAsia" w:ascii="Times New Roman" w:hAnsi="Times New Roman"/>
          <w:color w:val="auto"/>
          <w:kern w:val="1"/>
          <w:highlight w:val="none"/>
          <w:lang w:eastAsia="zh-CN"/>
        </w:rPr>
        <w:t>人民币</w:t>
      </w:r>
      <w:r>
        <w:rPr>
          <w:rFonts w:hint="eastAsia" w:ascii="Times New Roman" w:hAnsi="Times New Roman"/>
          <w:color w:val="auto"/>
          <w:kern w:val="1"/>
          <w:highlight w:val="none"/>
        </w:rPr>
        <w:t>各项贷款余额</w:t>
      </w:r>
      <w:r>
        <w:rPr>
          <w:rFonts w:hint="eastAsia" w:ascii="Times New Roman" w:hAnsi="Times New Roman"/>
          <w:color w:val="auto"/>
          <w:kern w:val="1"/>
          <w:highlight w:val="none"/>
          <w:lang w:val="en-US" w:eastAsia="zh-CN"/>
        </w:rPr>
        <w:t>3088.02</w:t>
      </w:r>
      <w:r>
        <w:rPr>
          <w:rFonts w:hint="eastAsia" w:ascii="Times New Roman" w:hAnsi="Times New Roman"/>
          <w:color w:val="auto"/>
          <w:kern w:val="1"/>
          <w:highlight w:val="none"/>
        </w:rPr>
        <w:t>亿元，比年初增加</w:t>
      </w:r>
      <w:r>
        <w:rPr>
          <w:rFonts w:hint="eastAsia" w:ascii="Times New Roman" w:hAnsi="Times New Roman"/>
          <w:color w:val="auto"/>
          <w:kern w:val="1"/>
          <w:highlight w:val="none"/>
          <w:lang w:val="en-US" w:eastAsia="zh-CN"/>
        </w:rPr>
        <w:t>196.27</w:t>
      </w:r>
      <w:r>
        <w:rPr>
          <w:rFonts w:hint="eastAsia" w:ascii="Times New Roman" w:hAnsi="Times New Roman"/>
          <w:color w:val="auto"/>
          <w:kern w:val="1"/>
          <w:highlight w:val="none"/>
        </w:rPr>
        <w:t>亿元。</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color w:val="auto"/>
          <w:sz w:val="28"/>
          <w:szCs w:val="28"/>
          <w:highlight w:val="none"/>
        </w:rPr>
      </w:pPr>
      <w:r>
        <w:rPr>
          <w:rFonts w:ascii="Times New Roman" w:hAnsi="Times New Roman" w:cs="Times New Roman"/>
          <w:b/>
          <w:color w:val="auto"/>
          <w:sz w:val="28"/>
          <w:szCs w:val="28"/>
          <w:highlight w:val="none"/>
        </w:rPr>
        <w:t>八、教育和科学技术</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pP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全年全市各级各类学校4021所，招生48.23万人，在校生198.2</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8</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万人，毕业生55.2</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4</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万人，教职工15.97万人。其中，高等教育学校7所，招生4.04万人，在校生11.46万人，毕业生3.79万人，教职工0.53万人。中等职业教育学校（含技工）37所，招生1.5</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8</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万人，在校生4.56万人，毕业生1.96万人，教职工0.44万人。普通高中学校83所，招生9.6</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1</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万人，在校生26.</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80</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万人，毕业生7.6</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7</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万人，教职工2.28万人。初级中学444所，招生16.10万人，在校生47.64万人，毕业生14.9</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3</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万人，教职工4.64万人。普通小学学校1558所，招生10.74万人，在校生81.72万人，毕业生16.16万人，教职工5.3</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5</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万人。幼儿园1879所，招生6.11万人，在校生25.8</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7</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万人，毕业生10.67万人，教职工2.6</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7</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万人。特殊教育（含随班就读）10所，招生965人，在校生5861人，毕业生910人，教职工526人。民办学校1553所，招生12.2</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6</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万人，在校生</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50.00</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万人，毕业生16.</w:t>
      </w:r>
      <w:r>
        <w:rPr>
          <w:rFonts w:hint="eastAsia" w:ascii="Times New Roman" w:hAnsi="Times New Roman" w:eastAsiaTheme="minorEastAsia" w:cstheme="minorEastAsia"/>
          <w:color w:val="000000" w:themeColor="text1"/>
          <w:kern w:val="1"/>
          <w:sz w:val="24"/>
          <w:szCs w:val="24"/>
          <w:highlight w:val="none"/>
          <w:lang w:val="en-US" w:eastAsia="zh-CN"/>
          <w14:textFill>
            <w14:solidFill>
              <w14:schemeClr w14:val="tx1"/>
            </w14:solidFill>
          </w14:textFill>
        </w:rPr>
        <w:t>60</w:t>
      </w: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万人，教职工4.68万人。专门学校3所，招生97人，在校生203人，毕业生165人，教职工41人。</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ascii="Times New Roman" w:hAnsi="Times New Roman" w:cs="Times New Roman"/>
          <w:b/>
          <w:bCs/>
          <w:color w:val="auto"/>
          <w:sz w:val="28"/>
          <w:szCs w:val="28"/>
          <w:highlight w:val="yellow"/>
        </w:rPr>
      </w:pPr>
      <w:r>
        <w:rPr>
          <w:rFonts w:hint="eastAsia" w:ascii="Times New Roman" w:hAnsi="Times New Roman"/>
          <w:color w:val="auto"/>
          <w:kern w:val="1"/>
          <w:highlight w:val="none"/>
          <w:lang w:val="en-US" w:eastAsia="zh-CN"/>
        </w:rPr>
        <w:t>全年全市荣获省级科技进步奖1项。新增“专精特新”中小企业20家、创新型中小企业167家，通过认定高新技术企业148家、科技型中小企业1246家。市级实施重点智能化改造项目86个，新增省级智能工厂（车间）17家，国家级绿色工厂7家，省级12家。周钢宽厚板全线贯通，耕德电子四期、龙都电磁新材料等项目投产运营。</w:t>
      </w:r>
      <w:r>
        <w:rPr>
          <w:rFonts w:hint="eastAsia" w:ascii="Times New Roman" w:hAnsi="Times New Roman"/>
          <w:color w:val="auto"/>
          <w:kern w:val="1"/>
          <w:highlight w:val="none"/>
        </w:rPr>
        <w:t>截</w:t>
      </w:r>
      <w:r>
        <w:rPr>
          <w:rFonts w:hint="eastAsia" w:ascii="Times New Roman" w:hAnsi="Times New Roman"/>
          <w:color w:val="auto"/>
          <w:kern w:val="1"/>
          <w:highlight w:val="none"/>
          <w:lang w:eastAsia="zh-CN"/>
        </w:rPr>
        <w:t>至</w:t>
      </w:r>
      <w:r>
        <w:rPr>
          <w:rFonts w:hint="eastAsia" w:ascii="Times New Roman" w:hAnsi="Times New Roman"/>
          <w:color w:val="auto"/>
          <w:kern w:val="1"/>
          <w:highlight w:val="none"/>
        </w:rPr>
        <w:t>年末，全市有效专利拥有量12849件；全年全市专利授权量3015件，</w:t>
      </w:r>
      <w:r>
        <w:rPr>
          <w:rFonts w:hint="eastAsia" w:ascii="Times New Roman" w:hAnsi="Times New Roman"/>
          <w:color w:val="auto"/>
          <w:kern w:val="1"/>
          <w:highlight w:val="none"/>
          <w:lang w:eastAsia="zh-CN"/>
        </w:rPr>
        <w:t>科技成果交易额增长</w:t>
      </w:r>
      <w:r>
        <w:rPr>
          <w:rFonts w:hint="eastAsia" w:ascii="Times New Roman" w:hAnsi="Times New Roman"/>
          <w:color w:val="auto"/>
          <w:kern w:val="1"/>
          <w:highlight w:val="none"/>
          <w:lang w:val="en-US" w:eastAsia="zh-CN"/>
        </w:rPr>
        <w:t>62.0%。</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color w:val="auto"/>
          <w:sz w:val="28"/>
          <w:szCs w:val="28"/>
          <w:highlight w:val="none"/>
        </w:rPr>
      </w:pPr>
      <w:r>
        <w:rPr>
          <w:rFonts w:ascii="Times New Roman" w:hAnsi="Times New Roman" w:cs="Times New Roman"/>
          <w:b/>
          <w:bCs/>
          <w:color w:val="auto"/>
          <w:sz w:val="28"/>
          <w:szCs w:val="28"/>
          <w:highlight w:val="none"/>
        </w:rPr>
        <w:t>九、文化</w:t>
      </w:r>
      <w:r>
        <w:rPr>
          <w:rFonts w:hint="eastAsia" w:ascii="Times New Roman" w:hAnsi="Times New Roman" w:cs="Times New Roman"/>
          <w:b/>
          <w:bCs/>
          <w:color w:val="auto"/>
          <w:sz w:val="28"/>
          <w:szCs w:val="28"/>
          <w:highlight w:val="none"/>
          <w:lang w:eastAsia="zh-CN"/>
        </w:rPr>
        <w:t>旅游</w:t>
      </w:r>
      <w:r>
        <w:rPr>
          <w:rFonts w:ascii="Times New Roman" w:hAnsi="Times New Roman" w:cs="Times New Roman"/>
          <w:b/>
          <w:bCs/>
          <w:color w:val="auto"/>
          <w:sz w:val="28"/>
          <w:szCs w:val="28"/>
          <w:highlight w:val="none"/>
        </w:rPr>
        <w:t>、卫生</w:t>
      </w:r>
      <w:r>
        <w:rPr>
          <w:rFonts w:hint="eastAsia" w:ascii="Times New Roman" w:hAnsi="Times New Roman" w:cs="Times New Roman"/>
          <w:b/>
          <w:bCs/>
          <w:color w:val="auto"/>
          <w:sz w:val="28"/>
          <w:szCs w:val="28"/>
          <w:highlight w:val="none"/>
          <w:lang w:eastAsia="zh-CN"/>
        </w:rPr>
        <w:t>健康</w:t>
      </w:r>
      <w:r>
        <w:rPr>
          <w:rFonts w:ascii="Times New Roman" w:hAnsi="Times New Roman" w:cs="Times New Roman"/>
          <w:b/>
          <w:bCs/>
          <w:color w:val="auto"/>
          <w:sz w:val="28"/>
          <w:szCs w:val="28"/>
          <w:highlight w:val="none"/>
        </w:rPr>
        <w:t>和体育</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s="Times New Roman"/>
          <w:color w:val="auto"/>
          <w:kern w:val="1"/>
          <w:highlight w:val="none"/>
          <w:shd w:val="clear" w:color="auto" w:fill="auto"/>
          <w:lang w:val="en-US" w:eastAsia="zh-CN"/>
        </w:rPr>
      </w:pPr>
      <w:r>
        <w:rPr>
          <w:rFonts w:hint="eastAsia" w:ascii="Times New Roman" w:hAnsi="Times New Roman" w:cs="Times New Roman"/>
          <w:color w:val="auto"/>
          <w:kern w:val="1"/>
          <w:highlight w:val="none"/>
          <w:shd w:val="clear" w:color="auto" w:fill="auto"/>
          <w:lang w:val="en-US" w:eastAsia="zh-CN"/>
        </w:rPr>
        <w:t>年末全市共有国有院团</w:t>
      </w:r>
      <w:r>
        <w:rPr>
          <w:rFonts w:hint="default" w:ascii="Times New Roman" w:hAnsi="Times New Roman" w:cs="Times New Roman"/>
          <w:color w:val="auto"/>
          <w:kern w:val="1"/>
          <w:highlight w:val="none"/>
          <w:shd w:val="clear" w:color="auto" w:fill="auto"/>
          <w:lang w:val="en-US" w:eastAsia="zh-CN"/>
        </w:rPr>
        <w:t>6</w:t>
      </w:r>
      <w:r>
        <w:rPr>
          <w:rFonts w:hint="eastAsia" w:ascii="Times New Roman" w:hAnsi="Times New Roman" w:cs="Times New Roman"/>
          <w:color w:val="auto"/>
          <w:kern w:val="1"/>
          <w:highlight w:val="none"/>
          <w:shd w:val="clear" w:color="auto" w:fill="auto"/>
          <w:lang w:val="en-US" w:eastAsia="zh-CN"/>
        </w:rPr>
        <w:t>家（</w:t>
      </w:r>
      <w:r>
        <w:rPr>
          <w:rFonts w:hint="default" w:ascii="Times New Roman" w:hAnsi="Times New Roman" w:cs="Times New Roman"/>
          <w:color w:val="auto"/>
          <w:kern w:val="1"/>
          <w:highlight w:val="none"/>
          <w:shd w:val="clear" w:color="auto" w:fill="auto"/>
          <w:lang w:val="en-US" w:eastAsia="zh-CN"/>
        </w:rPr>
        <w:t>2025</w:t>
      </w:r>
      <w:r>
        <w:rPr>
          <w:rFonts w:hint="eastAsia" w:ascii="Times New Roman" w:hAnsi="Times New Roman" w:cs="Times New Roman"/>
          <w:color w:val="auto"/>
          <w:kern w:val="1"/>
          <w:highlight w:val="none"/>
          <w:shd w:val="clear" w:color="auto" w:fill="auto"/>
          <w:lang w:val="en-US" w:eastAsia="zh-CN"/>
        </w:rPr>
        <w:t>年有</w:t>
      </w:r>
      <w:r>
        <w:rPr>
          <w:rFonts w:hint="default" w:ascii="Times New Roman" w:hAnsi="Times New Roman" w:cs="Times New Roman"/>
          <w:color w:val="auto"/>
          <w:kern w:val="1"/>
          <w:highlight w:val="none"/>
          <w:shd w:val="clear" w:color="auto" w:fill="auto"/>
          <w:lang w:val="en-US" w:eastAsia="zh-CN"/>
        </w:rPr>
        <w:t>1</w:t>
      </w:r>
      <w:r>
        <w:rPr>
          <w:rFonts w:hint="eastAsia" w:ascii="Times New Roman" w:hAnsi="Times New Roman" w:cs="Times New Roman"/>
          <w:color w:val="auto"/>
          <w:kern w:val="1"/>
          <w:highlight w:val="none"/>
          <w:shd w:val="clear" w:color="auto" w:fill="auto"/>
          <w:lang w:val="en-US" w:eastAsia="zh-CN"/>
        </w:rPr>
        <w:t>家国有院团合并至文化馆），文化馆12个，国有博物馆14个，民营博物馆8个，公共图书馆11个。广播电视台1座，融媒体中心9个。本年新增藏量4.72万册。公共文化场馆继续免费开放。</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s="Times New Roman"/>
          <w:color w:val="auto"/>
          <w:kern w:val="1"/>
          <w:highlight w:val="none"/>
          <w:shd w:val="clear" w:color="auto" w:fill="auto"/>
          <w:lang w:val="en-US" w:eastAsia="zh-CN"/>
        </w:rPr>
      </w:pPr>
      <w:r>
        <w:rPr>
          <w:rFonts w:hint="eastAsia" w:ascii="Times New Roman" w:hAnsi="Times New Roman" w:cs="Times New Roman"/>
          <w:color w:val="auto"/>
          <w:kern w:val="1"/>
          <w:highlight w:val="none"/>
          <w:shd w:val="clear" w:color="auto" w:fill="auto"/>
          <w:lang w:val="en-US" w:eastAsia="zh-CN"/>
        </w:rPr>
        <w:t>全年全市共接待游客5788.21万人次，旅游综合收入334.16亿元。年末全市共有A级景区50家。其中，5A级景区1家，4A级景区6家，3A级景区33家，2A级景区10家。旅行社39家，星级饭店7个。</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ascii="Times New Roman" w:hAnsi="Times New Roman"/>
          <w:color w:val="auto"/>
          <w:kern w:val="1"/>
          <w:highlight w:val="none"/>
        </w:rPr>
      </w:pPr>
      <w:r>
        <w:rPr>
          <w:rFonts w:hint="eastAsia" w:ascii="Times New Roman" w:hAnsi="Times New Roman" w:cs="Times New Roman"/>
          <w:color w:val="auto"/>
          <w:kern w:val="1"/>
          <w:highlight w:val="none"/>
          <w:shd w:val="clear" w:color="auto" w:fill="auto"/>
          <w:lang w:val="en-US" w:eastAsia="zh-CN"/>
        </w:rPr>
        <w:t>年末全市共有全国重点文物保护单位18处，省级重点文物保护单位74处，市级文物保护单位147处，县级文物保护单位515处，不可移动文物3884处，国家级非物质文化遗产10项，省级非物质文化遗产50项。</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olor w:val="auto"/>
          <w:kern w:val="1"/>
          <w:highlight w:val="none"/>
          <w:lang w:eastAsia="zh-CN"/>
        </w:rPr>
      </w:pPr>
      <w:r>
        <w:rPr>
          <w:rFonts w:hint="eastAsia" w:ascii="Times New Roman" w:hAnsi="Times New Roman"/>
          <w:color w:val="auto"/>
          <w:kern w:val="1"/>
          <w:highlight w:val="none"/>
          <w:lang w:eastAsia="zh-CN"/>
        </w:rPr>
        <w:t>年末全市共有医疗卫生机构10008个（含村卫生室7526个），医院248个，卫生院176个，妇幼保健院（所、站）11个。执业（助理）医师3.01万人，注册护士3.34万人。疾病预防控制中心11个。编制床位4.75万张，实有床位数6.38万张，卫生技术人员7.67万人。三级医院共20家，其中，三级中医院4家。二级医院78家，其中，中医医院9家。</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ascii="Times New Roman" w:hAnsi="Times New Roman"/>
          <w:highlight w:val="none"/>
        </w:rPr>
      </w:pPr>
      <w:r>
        <w:rPr>
          <w:rFonts w:hint="eastAsia" w:ascii="Times New Roman" w:hAnsi="Times New Roman" w:eastAsiaTheme="minorEastAsia" w:cstheme="minorEastAsia"/>
          <w:color w:val="000000" w:themeColor="text1"/>
          <w:kern w:val="1"/>
          <w:sz w:val="24"/>
          <w:szCs w:val="24"/>
          <w:highlight w:val="none"/>
          <w:lang w:eastAsia="zh-CN"/>
          <w14:textFill>
            <w14:solidFill>
              <w14:schemeClr w14:val="tx1"/>
            </w14:solidFill>
          </w14:textFill>
        </w:rPr>
        <w:t>在全省青少年各单项比赛中，周口市代表队共夺得61枚金牌、50枚银牌、88枚铜牌。</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bCs/>
          <w:color w:val="auto"/>
          <w:sz w:val="28"/>
          <w:szCs w:val="28"/>
          <w:highlight w:val="none"/>
        </w:rPr>
      </w:pPr>
      <w:r>
        <w:rPr>
          <w:rFonts w:ascii="Times New Roman" w:hAnsi="Times New Roman" w:cs="Times New Roman"/>
          <w:b/>
          <w:bCs/>
          <w:color w:val="auto"/>
          <w:sz w:val="28"/>
          <w:szCs w:val="28"/>
          <w:highlight w:val="none"/>
        </w:rPr>
        <w:t>十、人民生活和社会保障</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default" w:ascii="Times New Roman" w:hAnsi="Times New Roman" w:eastAsia="宋体"/>
          <w:color w:val="auto"/>
          <w:kern w:val="1"/>
          <w:highlight w:val="none"/>
          <w:lang w:val="en-US" w:eastAsia="zh-CN"/>
        </w:rPr>
      </w:pPr>
      <w:r>
        <w:rPr>
          <w:rFonts w:hint="eastAsia" w:ascii="Times New Roman" w:hAnsi="Times New Roman"/>
          <w:color w:val="auto"/>
          <w:kern w:val="1"/>
          <w:highlight w:val="none"/>
        </w:rPr>
        <w:t>全年全市居民人均可支配收入25844元，比上年增长5.4%。按常住地分，城镇居民人均可支配收入36473元，增长4.2%；农村居民人均可支配收入18657元，增长6.3%。</w:t>
      </w:r>
      <w:r>
        <w:rPr>
          <w:rFonts w:hint="eastAsia" w:ascii="Times New Roman" w:hAnsi="Times New Roman"/>
          <w:color w:val="auto"/>
          <w:kern w:val="1"/>
          <w:highlight w:val="none"/>
          <w:lang w:eastAsia="zh-CN"/>
        </w:rPr>
        <w:t>城乡居民人均可支配收入比值为</w:t>
      </w:r>
      <w:r>
        <w:rPr>
          <w:rFonts w:hint="eastAsia" w:ascii="Times New Roman" w:hAnsi="Times New Roman"/>
          <w:color w:val="auto"/>
          <w:kern w:val="1"/>
          <w:highlight w:val="none"/>
          <w:lang w:val="en-US" w:eastAsia="zh-CN"/>
        </w:rPr>
        <w:t>1.95，比上年缩小0.04。</w:t>
      </w:r>
    </w:p>
    <w:p>
      <w:pPr>
        <w:pStyle w:val="26"/>
        <w:keepNext w:val="0"/>
        <w:keepLines w:val="0"/>
        <w:pageBreakBefore w:val="0"/>
        <w:widowControl w:val="0"/>
        <w:kinsoku/>
        <w:overflowPunct/>
        <w:topLinePunct w:val="0"/>
        <w:autoSpaceDE/>
        <w:autoSpaceDN/>
        <w:bidi w:val="0"/>
        <w:adjustRightInd/>
        <w:snapToGrid/>
        <w:spacing w:beforeAutospacing="0" w:afterAutospacing="0" w:line="560" w:lineRule="exact"/>
        <w:ind w:firstLine="480" w:firstLineChars="200"/>
        <w:jc w:val="both"/>
        <w:rPr>
          <w:rFonts w:hint="eastAsia" w:ascii="Times New Roman" w:hAnsi="Times New Roman"/>
          <w:color w:val="auto"/>
          <w:kern w:val="1"/>
          <w:highlight w:val="none"/>
        </w:rPr>
      </w:pPr>
      <w:r>
        <w:rPr>
          <w:rFonts w:hint="eastAsia" w:ascii="Times New Roman" w:hAnsi="Times New Roman"/>
          <w:color w:val="auto"/>
          <w:kern w:val="1"/>
          <w:highlight w:val="none"/>
        </w:rPr>
        <w:t>全市居民人均消费支出18411元，比上年增长3.8%。按常住地分，城镇居民人均消费支出22424元，增长2.4%；农村居民人均消费支出15698元，增长4.8%。</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1" w:firstLineChars="200"/>
        <w:jc w:val="center"/>
        <w:textAlignment w:val="auto"/>
        <w:rPr>
          <w:rFonts w:hint="eastAsia" w:ascii="Times New Roman" w:hAnsi="Times New Roman" w:eastAsia="宋体"/>
          <w:b/>
          <w:bCs/>
          <w:color w:val="auto"/>
          <w:szCs w:val="22"/>
          <w:highlight w:val="none"/>
          <w:lang w:eastAsia="zh-CN"/>
        </w:rPr>
      </w:pPr>
      <w:r>
        <w:rPr>
          <w:rFonts w:hint="eastAsia" w:ascii="Times New Roman" w:hAnsi="Times New Roman"/>
          <w:b/>
          <w:bCs/>
          <w:color w:val="auto"/>
          <w:szCs w:val="22"/>
          <w:highlight w:val="none"/>
        </w:rPr>
        <w:t>图</w:t>
      </w:r>
      <w:r>
        <w:rPr>
          <w:rFonts w:hint="eastAsia" w:ascii="Times New Roman" w:hAnsi="Times New Roman"/>
          <w:b/>
          <w:bCs/>
          <w:color w:val="auto"/>
          <w:szCs w:val="22"/>
          <w:highlight w:val="none"/>
          <w:lang w:val="en-US" w:eastAsia="zh-CN"/>
        </w:rPr>
        <w:t xml:space="preserve">2 </w:t>
      </w:r>
      <w:r>
        <w:rPr>
          <w:rFonts w:hint="eastAsia" w:ascii="Times New Roman" w:hAnsi="Times New Roman"/>
          <w:b/>
          <w:bCs/>
          <w:color w:val="auto"/>
          <w:szCs w:val="22"/>
          <w:highlight w:val="none"/>
          <w:lang w:eastAsia="zh-CN"/>
        </w:rPr>
        <w:t xml:space="preserve"> </w:t>
      </w:r>
      <w:r>
        <w:rPr>
          <w:rFonts w:hint="eastAsia" w:ascii="Times New Roman" w:hAnsi="Times New Roman"/>
          <w:b/>
          <w:bCs/>
          <w:color w:val="auto"/>
          <w:szCs w:val="22"/>
          <w:highlight w:val="none"/>
          <w:lang w:val="en-US" w:eastAsia="zh-CN"/>
        </w:rPr>
        <w:t>2021</w:t>
      </w:r>
      <w:r>
        <w:rPr>
          <w:rFonts w:hint="eastAsia" w:ascii="Times New Roman" w:hAnsi="Times New Roman"/>
          <w:b/>
          <w:bCs/>
          <w:color w:val="auto"/>
          <w:szCs w:val="22"/>
          <w:highlight w:val="none"/>
        </w:rPr>
        <w:t>-</w:t>
      </w:r>
      <w:r>
        <w:rPr>
          <w:rFonts w:hint="eastAsia" w:ascii="Times New Roman" w:hAnsi="Times New Roman"/>
          <w:b/>
          <w:bCs/>
          <w:color w:val="auto"/>
          <w:szCs w:val="22"/>
          <w:highlight w:val="none"/>
          <w:lang w:eastAsia="zh-CN"/>
        </w:rPr>
        <w:t>2025</w:t>
      </w:r>
      <w:r>
        <w:rPr>
          <w:rFonts w:hint="eastAsia" w:ascii="Times New Roman" w:hAnsi="Times New Roman"/>
          <w:b/>
          <w:bCs/>
          <w:color w:val="auto"/>
          <w:szCs w:val="22"/>
          <w:highlight w:val="none"/>
        </w:rPr>
        <w:t>年</w:t>
      </w:r>
      <w:r>
        <w:rPr>
          <w:rFonts w:hint="eastAsia" w:ascii="Times New Roman" w:hAnsi="Times New Roman"/>
          <w:b/>
          <w:bCs/>
          <w:color w:val="auto"/>
          <w:szCs w:val="22"/>
          <w:highlight w:val="none"/>
          <w:lang w:eastAsia="zh-CN"/>
        </w:rPr>
        <w:t>周口</w:t>
      </w:r>
      <w:r>
        <w:rPr>
          <w:rFonts w:hint="eastAsia" w:ascii="Times New Roman" w:hAnsi="Times New Roman"/>
          <w:b/>
          <w:bCs/>
          <w:color w:val="auto"/>
          <w:szCs w:val="22"/>
          <w:highlight w:val="none"/>
        </w:rPr>
        <w:t>市居民人均可支配收入及</w:t>
      </w:r>
      <w:r>
        <w:rPr>
          <w:rFonts w:hint="eastAsia" w:ascii="Times New Roman" w:hAnsi="Times New Roman"/>
          <w:b/>
          <w:bCs/>
          <w:color w:val="auto"/>
          <w:szCs w:val="22"/>
          <w:highlight w:val="none"/>
          <w:lang w:eastAsia="zh-CN"/>
        </w:rPr>
        <w:t>其增长速度</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240" w:lineRule="auto"/>
        <w:ind w:firstLine="420" w:firstLineChars="200"/>
        <w:jc w:val="right"/>
        <w:textAlignment w:val="auto"/>
        <w:rPr>
          <w:rFonts w:hint="eastAsia" w:ascii="Times New Roman" w:hAnsi="Times New Roman" w:eastAsiaTheme="minorEastAsia" w:cstheme="minorEastAsia"/>
          <w:b w:val="0"/>
          <w:bCs w:val="0"/>
          <w:color w:val="auto"/>
          <w:sz w:val="21"/>
          <w:szCs w:val="21"/>
          <w:highlight w:val="none"/>
          <w:lang w:val="en-US" w:eastAsia="zh-CN"/>
        </w:rPr>
      </w:pPr>
      <w:r>
        <w:rPr>
          <w:rFonts w:hint="eastAsia" w:ascii="Times New Roman" w:hAnsi="Times New Roman" w:eastAsiaTheme="minorEastAsia" w:cstheme="minorEastAsia"/>
          <w:b w:val="0"/>
          <w:bCs w:val="0"/>
          <w:color w:val="auto"/>
          <w:sz w:val="21"/>
          <w:szCs w:val="21"/>
          <w:highlight w:val="none"/>
          <w:lang w:eastAsia="zh-CN"/>
        </w:rPr>
        <w:t>单位：元，</w:t>
      </w:r>
      <w:r>
        <w:rPr>
          <w:rFonts w:hint="eastAsia" w:ascii="Times New Roman" w:hAnsi="Times New Roman" w:eastAsiaTheme="minorEastAsia" w:cstheme="minorEastAsia"/>
          <w:b w:val="0"/>
          <w:bCs w:val="0"/>
          <w:color w:val="auto"/>
          <w:sz w:val="21"/>
          <w:szCs w:val="21"/>
          <w:highlight w:val="none"/>
          <w:lang w:val="en-US" w:eastAsia="zh-CN"/>
        </w:rPr>
        <w:t>%</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hint="eastAsia" w:ascii="Times New Roman" w:hAnsi="Times New Roman"/>
          <w:color w:val="auto"/>
          <w:highlight w:val="none"/>
        </w:rPr>
      </w:pPr>
      <w:r>
        <w:drawing>
          <wp:anchor distT="0" distB="0" distL="114935" distR="114935" simplePos="0" relativeHeight="251661312" behindDoc="0" locked="0" layoutInCell="1" allowOverlap="1">
            <wp:simplePos x="0" y="0"/>
            <wp:positionH relativeFrom="page">
              <wp:align>center</wp:align>
            </wp:positionH>
            <wp:positionV relativeFrom="paragraph">
              <wp:posOffset>6985</wp:posOffset>
            </wp:positionV>
            <wp:extent cx="5157470" cy="3124200"/>
            <wp:effectExtent l="0" t="0" r="0" b="0"/>
            <wp:wrapTopAndBottom/>
            <wp:docPr id="79488"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rPr>
          <w:rFonts w:hint="eastAsia" w:ascii="Times New Roman" w:hAnsi="Times New Roman"/>
          <w:color w:val="auto"/>
          <w:kern w:val="1"/>
          <w:highlight w:val="none"/>
        </w:rPr>
        <w:t>截至年末，</w:t>
      </w:r>
      <w:r>
        <w:rPr>
          <w:rFonts w:hint="eastAsia" w:ascii="Times New Roman" w:hAnsi="Times New Roman"/>
          <w:color w:val="auto"/>
          <w:kern w:val="1"/>
          <w:highlight w:val="none"/>
          <w:lang w:eastAsia="zh-CN"/>
        </w:rPr>
        <w:t>全市参加</w:t>
      </w:r>
      <w:r>
        <w:rPr>
          <w:rFonts w:hint="eastAsia" w:ascii="Times New Roman" w:hAnsi="Times New Roman"/>
          <w:color w:val="auto"/>
          <w:kern w:val="1"/>
          <w:highlight w:val="none"/>
        </w:rPr>
        <w:t>城镇职工基本养老保险人数</w:t>
      </w:r>
      <w:r>
        <w:rPr>
          <w:rFonts w:hint="eastAsia" w:ascii="Times New Roman" w:hAnsi="Times New Roman"/>
          <w:color w:val="auto"/>
          <w:kern w:val="1"/>
          <w:highlight w:val="none"/>
          <w:lang w:val="en-US" w:eastAsia="zh-CN"/>
        </w:rPr>
        <w:t>139.13</w:t>
      </w:r>
      <w:r>
        <w:rPr>
          <w:rFonts w:hint="eastAsia" w:ascii="Times New Roman" w:hAnsi="Times New Roman"/>
          <w:color w:val="auto"/>
          <w:kern w:val="1"/>
          <w:highlight w:val="none"/>
        </w:rPr>
        <w:t>万人。其中，企业职工基本养老保险参保</w:t>
      </w:r>
      <w:r>
        <w:rPr>
          <w:rFonts w:hint="eastAsia" w:ascii="Times New Roman" w:hAnsi="Times New Roman"/>
          <w:color w:val="auto"/>
          <w:kern w:val="1"/>
          <w:highlight w:val="none"/>
          <w:lang w:val="en-US" w:eastAsia="zh-CN"/>
        </w:rPr>
        <w:t>105.69</w:t>
      </w:r>
      <w:r>
        <w:rPr>
          <w:rFonts w:hint="eastAsia" w:ascii="Times New Roman" w:hAnsi="Times New Roman"/>
          <w:color w:val="auto"/>
          <w:kern w:val="1"/>
          <w:highlight w:val="none"/>
        </w:rPr>
        <w:t>万人</w:t>
      </w:r>
      <w:r>
        <w:rPr>
          <w:rFonts w:hint="eastAsia" w:ascii="Times New Roman" w:hAnsi="Times New Roman"/>
          <w:color w:val="auto"/>
          <w:kern w:val="1"/>
          <w:highlight w:val="none"/>
          <w:lang w:eastAsia="zh-CN"/>
        </w:rPr>
        <w:t>，其中</w:t>
      </w:r>
      <w:r>
        <w:rPr>
          <w:rFonts w:hint="eastAsia" w:ascii="Times New Roman" w:hAnsi="Times New Roman"/>
          <w:color w:val="auto"/>
          <w:kern w:val="1"/>
          <w:highlight w:val="none"/>
        </w:rPr>
        <w:t>参保</w:t>
      </w:r>
      <w:r>
        <w:rPr>
          <w:rFonts w:hint="eastAsia" w:ascii="Times New Roman" w:hAnsi="Times New Roman"/>
          <w:color w:val="auto"/>
          <w:kern w:val="1"/>
          <w:highlight w:val="none"/>
          <w:lang w:eastAsia="zh-CN"/>
        </w:rPr>
        <w:t>在职</w:t>
      </w:r>
      <w:r>
        <w:rPr>
          <w:rFonts w:hint="eastAsia" w:ascii="Times New Roman" w:hAnsi="Times New Roman"/>
          <w:color w:val="auto"/>
          <w:kern w:val="1"/>
          <w:highlight w:val="none"/>
        </w:rPr>
        <w:t>职工</w:t>
      </w:r>
      <w:r>
        <w:rPr>
          <w:rFonts w:hint="eastAsia" w:ascii="Times New Roman" w:hAnsi="Times New Roman"/>
          <w:color w:val="auto"/>
          <w:kern w:val="1"/>
          <w:highlight w:val="none"/>
          <w:lang w:val="en-US" w:eastAsia="zh-CN"/>
        </w:rPr>
        <w:t>79.93</w:t>
      </w:r>
      <w:r>
        <w:rPr>
          <w:rFonts w:hint="eastAsia" w:ascii="Times New Roman" w:hAnsi="Times New Roman"/>
          <w:color w:val="auto"/>
          <w:kern w:val="1"/>
          <w:highlight w:val="none"/>
        </w:rPr>
        <w:t>万人，</w:t>
      </w:r>
      <w:r>
        <w:rPr>
          <w:rFonts w:hint="eastAsia" w:ascii="Times New Roman" w:hAnsi="Times New Roman"/>
          <w:color w:val="auto"/>
          <w:kern w:val="1"/>
          <w:highlight w:val="none"/>
          <w:lang w:eastAsia="zh-CN"/>
        </w:rPr>
        <w:t>参保</w:t>
      </w:r>
      <w:r>
        <w:rPr>
          <w:rFonts w:hint="eastAsia" w:ascii="Times New Roman" w:hAnsi="Times New Roman"/>
          <w:color w:val="auto"/>
          <w:kern w:val="1"/>
          <w:highlight w:val="none"/>
        </w:rPr>
        <w:t>离退休人员</w:t>
      </w:r>
      <w:r>
        <w:rPr>
          <w:rFonts w:hint="eastAsia" w:ascii="Times New Roman" w:hAnsi="Times New Roman"/>
          <w:color w:val="auto"/>
          <w:kern w:val="1"/>
          <w:highlight w:val="none"/>
          <w:lang w:val="en-US" w:eastAsia="zh-CN"/>
        </w:rPr>
        <w:t>25.76</w:t>
      </w:r>
      <w:r>
        <w:rPr>
          <w:rFonts w:hint="eastAsia" w:ascii="Times New Roman" w:hAnsi="Times New Roman"/>
          <w:color w:val="auto"/>
          <w:kern w:val="1"/>
          <w:highlight w:val="none"/>
        </w:rPr>
        <w:t>万人；机关事业</w:t>
      </w:r>
      <w:r>
        <w:rPr>
          <w:rFonts w:hint="eastAsia" w:ascii="Times New Roman" w:hAnsi="Times New Roman"/>
          <w:color w:val="auto"/>
          <w:kern w:val="1"/>
          <w:highlight w:val="none"/>
          <w:lang w:eastAsia="zh-CN"/>
        </w:rPr>
        <w:t>单位</w:t>
      </w:r>
      <w:r>
        <w:rPr>
          <w:rFonts w:hint="eastAsia" w:ascii="Times New Roman" w:hAnsi="Times New Roman"/>
          <w:color w:val="auto"/>
          <w:kern w:val="1"/>
          <w:highlight w:val="none"/>
        </w:rPr>
        <w:t>养老保险参保</w:t>
      </w:r>
      <w:r>
        <w:rPr>
          <w:rFonts w:hint="eastAsia" w:ascii="Times New Roman" w:hAnsi="Times New Roman"/>
          <w:color w:val="auto"/>
          <w:kern w:val="1"/>
          <w:highlight w:val="none"/>
          <w:lang w:val="en-US" w:eastAsia="zh-CN"/>
        </w:rPr>
        <w:t>33.43</w:t>
      </w:r>
      <w:r>
        <w:rPr>
          <w:rFonts w:hint="eastAsia" w:ascii="Times New Roman" w:hAnsi="Times New Roman"/>
          <w:color w:val="auto"/>
          <w:kern w:val="1"/>
          <w:highlight w:val="none"/>
        </w:rPr>
        <w:t>万人</w:t>
      </w:r>
      <w:r>
        <w:rPr>
          <w:rFonts w:hint="eastAsia" w:ascii="Times New Roman" w:hAnsi="Times New Roman"/>
          <w:color w:val="auto"/>
          <w:kern w:val="1"/>
          <w:highlight w:val="none"/>
          <w:lang w:eastAsia="zh-CN"/>
        </w:rPr>
        <w:t>，其中</w:t>
      </w:r>
      <w:r>
        <w:rPr>
          <w:rFonts w:hint="eastAsia" w:ascii="Times New Roman" w:hAnsi="Times New Roman"/>
          <w:color w:val="auto"/>
          <w:kern w:val="1"/>
          <w:highlight w:val="none"/>
        </w:rPr>
        <w:t>参保在职职工</w:t>
      </w:r>
      <w:r>
        <w:rPr>
          <w:rFonts w:hint="eastAsia" w:ascii="Times New Roman" w:hAnsi="Times New Roman"/>
          <w:color w:val="auto"/>
          <w:kern w:val="1"/>
          <w:highlight w:val="none"/>
          <w:lang w:val="en-US" w:eastAsia="zh-CN"/>
        </w:rPr>
        <w:t>20.98</w:t>
      </w:r>
      <w:r>
        <w:rPr>
          <w:rFonts w:hint="eastAsia" w:ascii="Times New Roman" w:hAnsi="Times New Roman"/>
          <w:color w:val="auto"/>
          <w:kern w:val="1"/>
          <w:highlight w:val="none"/>
        </w:rPr>
        <w:t>万人，</w:t>
      </w:r>
      <w:r>
        <w:rPr>
          <w:rFonts w:hint="eastAsia" w:ascii="Times New Roman" w:hAnsi="Times New Roman"/>
          <w:color w:val="auto"/>
          <w:kern w:val="1"/>
          <w:highlight w:val="none"/>
          <w:lang w:eastAsia="zh-CN"/>
        </w:rPr>
        <w:t>参保</w:t>
      </w:r>
      <w:r>
        <w:rPr>
          <w:rFonts w:hint="eastAsia" w:ascii="Times New Roman" w:hAnsi="Times New Roman"/>
          <w:color w:val="auto"/>
          <w:kern w:val="1"/>
          <w:highlight w:val="none"/>
        </w:rPr>
        <w:t>离退休人员</w:t>
      </w:r>
      <w:r>
        <w:rPr>
          <w:rFonts w:hint="eastAsia" w:ascii="Times New Roman" w:hAnsi="Times New Roman"/>
          <w:color w:val="auto"/>
          <w:kern w:val="1"/>
          <w:highlight w:val="none"/>
          <w:lang w:val="en-US" w:eastAsia="zh-CN"/>
        </w:rPr>
        <w:t>12.45</w:t>
      </w:r>
      <w:r>
        <w:rPr>
          <w:rFonts w:hint="eastAsia" w:ascii="Times New Roman" w:hAnsi="Times New Roman"/>
          <w:color w:val="auto"/>
          <w:kern w:val="1"/>
          <w:highlight w:val="none"/>
        </w:rPr>
        <w:t>万人。参加城乡居民基本养老保险人数</w:t>
      </w:r>
      <w:r>
        <w:rPr>
          <w:rFonts w:hint="eastAsia" w:ascii="Times New Roman" w:hAnsi="Times New Roman"/>
          <w:color w:val="auto"/>
          <w:kern w:val="1"/>
          <w:highlight w:val="none"/>
          <w:lang w:val="en-US" w:eastAsia="zh-CN"/>
        </w:rPr>
        <w:t>601.48</w:t>
      </w:r>
      <w:r>
        <w:rPr>
          <w:rFonts w:hint="eastAsia" w:ascii="Times New Roman" w:hAnsi="Times New Roman"/>
          <w:color w:val="auto"/>
          <w:kern w:val="1"/>
          <w:highlight w:val="none"/>
        </w:rPr>
        <w:t>万人。全市参加基本医疗保险</w:t>
      </w:r>
      <w:r>
        <w:rPr>
          <w:rFonts w:hint="eastAsia" w:ascii="Times New Roman" w:hAnsi="Times New Roman"/>
          <w:color w:val="auto"/>
          <w:kern w:val="1"/>
          <w:highlight w:val="none"/>
          <w:lang w:eastAsia="zh-CN"/>
        </w:rPr>
        <w:t>人数</w:t>
      </w:r>
      <w:r>
        <w:rPr>
          <w:rFonts w:hint="eastAsia" w:ascii="Times New Roman" w:hAnsi="Times New Roman"/>
          <w:color w:val="auto"/>
          <w:highlight w:val="none"/>
        </w:rPr>
        <w:t>977.3</w:t>
      </w:r>
      <w:r>
        <w:rPr>
          <w:rFonts w:hint="eastAsia" w:ascii="Times New Roman" w:hAnsi="Times New Roman"/>
          <w:color w:val="auto"/>
          <w:kern w:val="1"/>
          <w:highlight w:val="none"/>
        </w:rPr>
        <w:t>万人，其中，全市城乡居民医保参保</w:t>
      </w:r>
      <w:r>
        <w:rPr>
          <w:rFonts w:hint="eastAsia" w:ascii="Times New Roman" w:hAnsi="Times New Roman"/>
          <w:color w:val="auto"/>
          <w:highlight w:val="none"/>
        </w:rPr>
        <w:t>910.67</w:t>
      </w:r>
      <w:r>
        <w:rPr>
          <w:rFonts w:hint="eastAsia" w:ascii="Times New Roman" w:hAnsi="Times New Roman"/>
          <w:color w:val="auto"/>
          <w:kern w:val="1"/>
          <w:highlight w:val="none"/>
        </w:rPr>
        <w:t>万人。参加失业保险人数</w:t>
      </w:r>
      <w:r>
        <w:rPr>
          <w:rFonts w:hint="eastAsia" w:ascii="Times New Roman" w:hAnsi="Times New Roman"/>
          <w:color w:val="auto"/>
          <w:kern w:val="1"/>
          <w:highlight w:val="none"/>
          <w:lang w:val="en-US" w:eastAsia="zh-CN"/>
        </w:rPr>
        <w:t>56.93</w:t>
      </w:r>
      <w:r>
        <w:rPr>
          <w:rFonts w:hint="eastAsia" w:ascii="Times New Roman" w:hAnsi="Times New Roman"/>
          <w:color w:val="auto"/>
          <w:kern w:val="1"/>
          <w:highlight w:val="none"/>
        </w:rPr>
        <w:t>万人。参加工伤保险人数</w:t>
      </w:r>
      <w:r>
        <w:rPr>
          <w:rFonts w:hint="eastAsia" w:ascii="Times New Roman" w:hAnsi="Times New Roman"/>
          <w:color w:val="auto"/>
          <w:kern w:val="1"/>
          <w:highlight w:val="none"/>
          <w:lang w:val="en-US" w:eastAsia="zh-CN"/>
        </w:rPr>
        <w:t>60.88</w:t>
      </w:r>
      <w:r>
        <w:rPr>
          <w:rFonts w:hint="eastAsia" w:ascii="Times New Roman" w:hAnsi="Times New Roman"/>
          <w:color w:val="auto"/>
          <w:kern w:val="1"/>
          <w:highlight w:val="none"/>
        </w:rPr>
        <w:t>万人。全市城镇职工生育保险参保</w:t>
      </w:r>
      <w:r>
        <w:rPr>
          <w:rFonts w:hint="eastAsia" w:ascii="Times New Roman" w:hAnsi="Times New Roman"/>
          <w:color w:val="auto"/>
          <w:highlight w:val="none"/>
        </w:rPr>
        <w:t>42.01</w:t>
      </w:r>
      <w:r>
        <w:rPr>
          <w:rFonts w:hint="eastAsia" w:ascii="Times New Roman" w:hAnsi="Times New Roman"/>
          <w:color w:val="auto"/>
          <w:kern w:val="1"/>
          <w:highlight w:val="none"/>
        </w:rPr>
        <w:t>万人。</w:t>
      </w:r>
    </w:p>
    <w:p>
      <w:pPr>
        <w:pStyle w:val="26"/>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480" w:firstLineChars="200"/>
        <w:jc w:val="both"/>
        <w:textAlignment w:val="auto"/>
        <w:rPr>
          <w:rFonts w:ascii="Times New Roman" w:hAnsi="Times New Roman" w:cs="Times New Roman"/>
          <w:b/>
          <w:bCs/>
          <w:color w:val="0000FF"/>
          <w:sz w:val="28"/>
          <w:szCs w:val="28"/>
          <w:highlight w:val="none"/>
        </w:rPr>
      </w:pPr>
      <w:r>
        <w:rPr>
          <w:rFonts w:hint="eastAsia" w:ascii="Times New Roman" w:hAnsi="Times New Roman" w:eastAsiaTheme="minorEastAsia" w:cstheme="minorEastAsia"/>
          <w:color w:val="auto"/>
          <w:kern w:val="1"/>
          <w:sz w:val="24"/>
          <w:szCs w:val="24"/>
          <w:highlight w:val="none"/>
          <w:lang w:val="en-US" w:eastAsia="zh-CN" w:bidi="ar-SA"/>
        </w:rPr>
        <w:t>全年全市发放城市低保金0.63亿元，年末共保障城市低保对象1.48万人；全年发放农村低保金10.25亿元，年末共保障农村低保对象35.60万人。全年发放农村特困人员救助供养金5.23亿元，年末共保障农村特困人员5.50万人。</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Times New Roman" w:hAnsi="Times New Roman" w:cs="Times New Roman"/>
          <w:b/>
          <w:bCs/>
          <w:color w:val="auto"/>
          <w:sz w:val="28"/>
          <w:szCs w:val="28"/>
          <w:highlight w:val="none"/>
        </w:rPr>
      </w:pPr>
      <w:r>
        <w:rPr>
          <w:rFonts w:ascii="Times New Roman" w:hAnsi="Times New Roman" w:cs="Times New Roman"/>
          <w:b/>
          <w:bCs/>
          <w:color w:val="auto"/>
          <w:sz w:val="28"/>
          <w:szCs w:val="28"/>
          <w:highlight w:val="none"/>
        </w:rPr>
        <w:t>十一、环境</w:t>
      </w:r>
      <w:r>
        <w:rPr>
          <w:rFonts w:hint="eastAsia" w:ascii="Times New Roman" w:hAnsi="Times New Roman" w:cs="Times New Roman"/>
          <w:b/>
          <w:bCs/>
          <w:color w:val="auto"/>
          <w:sz w:val="28"/>
          <w:szCs w:val="28"/>
          <w:highlight w:val="none"/>
          <w:lang w:eastAsia="zh-CN"/>
        </w:rPr>
        <w:t>保护</w:t>
      </w:r>
      <w:r>
        <w:rPr>
          <w:rFonts w:hint="eastAsia" w:ascii="Times New Roman" w:hAnsi="Times New Roman" w:cs="Times New Roman"/>
          <w:b/>
          <w:bCs/>
          <w:color w:val="auto"/>
          <w:sz w:val="28"/>
          <w:szCs w:val="28"/>
          <w:highlight w:val="none"/>
        </w:rPr>
        <w:t>和</w:t>
      </w:r>
      <w:r>
        <w:rPr>
          <w:rFonts w:ascii="Times New Roman" w:hAnsi="Times New Roman" w:cs="Times New Roman"/>
          <w:b/>
          <w:bCs/>
          <w:color w:val="auto"/>
          <w:sz w:val="28"/>
          <w:szCs w:val="28"/>
          <w:highlight w:val="none"/>
        </w:rPr>
        <w:t>安全生产</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cs="Times New Roman"/>
          <w:color w:val="auto"/>
          <w:kern w:val="1"/>
          <w:sz w:val="24"/>
          <w:highlight w:val="none"/>
        </w:rPr>
      </w:pPr>
      <w:r>
        <w:rPr>
          <w:rFonts w:hint="eastAsia" w:ascii="Times New Roman" w:hAnsi="Times New Roman" w:cs="Times New Roman"/>
          <w:color w:val="auto"/>
          <w:kern w:val="1"/>
          <w:sz w:val="24"/>
          <w:highlight w:val="none"/>
        </w:rPr>
        <w:t>全年全市PM</w:t>
      </w:r>
      <w:r>
        <w:rPr>
          <w:rFonts w:hint="eastAsia" w:ascii="Times New Roman" w:hAnsi="Times New Roman" w:cs="Times New Roman"/>
          <w:color w:val="auto"/>
          <w:kern w:val="1"/>
          <w:sz w:val="24"/>
          <w:vertAlign w:val="subscript"/>
        </w:rPr>
        <w:t>2.5</w:t>
      </w:r>
      <w:r>
        <w:rPr>
          <w:rFonts w:hint="eastAsia" w:ascii="Times New Roman" w:hAnsi="Times New Roman" w:cs="Times New Roman"/>
          <w:color w:val="auto"/>
          <w:kern w:val="1"/>
          <w:sz w:val="24"/>
          <w:highlight w:val="none"/>
          <w:vertAlign w:val="baseline"/>
          <w:lang w:eastAsia="zh-CN"/>
        </w:rPr>
        <w:t>年</w:t>
      </w:r>
      <w:r>
        <w:rPr>
          <w:rFonts w:hint="eastAsia" w:ascii="Times New Roman" w:hAnsi="Times New Roman" w:cs="Times New Roman"/>
          <w:color w:val="auto"/>
          <w:kern w:val="1"/>
          <w:sz w:val="24"/>
          <w:highlight w:val="none"/>
        </w:rPr>
        <w:t>平均浓度</w:t>
      </w:r>
      <w:r>
        <w:rPr>
          <w:rFonts w:hint="eastAsia" w:ascii="Times New Roman" w:hAnsi="Times New Roman" w:cs="Times New Roman"/>
          <w:color w:val="auto"/>
          <w:kern w:val="1"/>
          <w:sz w:val="24"/>
          <w:highlight w:val="none"/>
          <w:lang w:val="en-US" w:eastAsia="zh-CN"/>
        </w:rPr>
        <w:t>42.12</w:t>
      </w:r>
      <w:r>
        <w:rPr>
          <w:rFonts w:hint="eastAsia" w:ascii="Times New Roman" w:hAnsi="Times New Roman" w:cs="Times New Roman"/>
          <w:color w:val="auto"/>
          <w:kern w:val="1"/>
          <w:sz w:val="24"/>
          <w:highlight w:val="none"/>
        </w:rPr>
        <w:t>微克/立方米</w:t>
      </w:r>
      <w:r>
        <w:rPr>
          <w:rFonts w:hint="eastAsia" w:ascii="Times New Roman" w:hAnsi="Times New Roman" w:cs="Times New Roman"/>
          <w:color w:val="auto"/>
          <w:kern w:val="1"/>
          <w:sz w:val="24"/>
          <w:highlight w:val="none"/>
          <w:lang w:eastAsia="zh-CN"/>
        </w:rPr>
        <w:t>；</w:t>
      </w:r>
      <w:r>
        <w:rPr>
          <w:rFonts w:hint="eastAsia" w:ascii="Times New Roman" w:hAnsi="Times New Roman" w:cs="Times New Roman"/>
          <w:color w:val="auto"/>
          <w:kern w:val="1"/>
          <w:sz w:val="24"/>
          <w:highlight w:val="none"/>
        </w:rPr>
        <w:t>PM</w:t>
      </w:r>
      <w:r>
        <w:rPr>
          <w:rFonts w:hint="eastAsia" w:ascii="Times New Roman" w:hAnsi="Times New Roman" w:cs="Times New Roman"/>
          <w:color w:val="auto"/>
          <w:kern w:val="1"/>
          <w:sz w:val="24"/>
          <w:szCs w:val="24"/>
          <w:highlight w:val="none"/>
          <w:vertAlign w:val="subscript"/>
        </w:rPr>
        <w:t>10</w:t>
      </w:r>
      <w:r>
        <w:rPr>
          <w:rFonts w:hint="eastAsia" w:ascii="Times New Roman" w:hAnsi="Times New Roman" w:cs="Times New Roman"/>
          <w:color w:val="auto"/>
          <w:kern w:val="1"/>
          <w:sz w:val="24"/>
          <w:highlight w:val="none"/>
          <w:vertAlign w:val="baseline"/>
          <w:lang w:eastAsia="zh-CN"/>
        </w:rPr>
        <w:t>年</w:t>
      </w:r>
      <w:r>
        <w:rPr>
          <w:rFonts w:hint="eastAsia" w:ascii="Times New Roman" w:hAnsi="Times New Roman" w:cs="Times New Roman"/>
          <w:color w:val="auto"/>
          <w:kern w:val="1"/>
          <w:sz w:val="24"/>
          <w:highlight w:val="none"/>
        </w:rPr>
        <w:t>平均浓度</w:t>
      </w:r>
      <w:r>
        <w:rPr>
          <w:rFonts w:hint="eastAsia" w:ascii="Times New Roman" w:hAnsi="Times New Roman" w:cs="Times New Roman"/>
          <w:color w:val="auto"/>
          <w:kern w:val="1"/>
          <w:sz w:val="24"/>
          <w:highlight w:val="none"/>
          <w:lang w:val="en-US" w:eastAsia="zh-CN"/>
        </w:rPr>
        <w:t>67</w:t>
      </w:r>
      <w:r>
        <w:rPr>
          <w:rFonts w:hint="eastAsia" w:ascii="Times New Roman" w:hAnsi="Times New Roman" w:cs="Times New Roman"/>
          <w:color w:val="auto"/>
          <w:kern w:val="1"/>
          <w:sz w:val="24"/>
          <w:highlight w:val="none"/>
        </w:rPr>
        <w:t>微克/立方米</w:t>
      </w:r>
      <w:r>
        <w:rPr>
          <w:rFonts w:hint="eastAsia" w:ascii="Times New Roman" w:hAnsi="Times New Roman" w:cs="Times New Roman"/>
          <w:color w:val="auto"/>
          <w:kern w:val="1"/>
          <w:sz w:val="24"/>
          <w:highlight w:val="none"/>
          <w:lang w:eastAsia="zh-CN"/>
        </w:rPr>
        <w:t>；</w:t>
      </w:r>
      <w:r>
        <w:rPr>
          <w:rFonts w:hint="eastAsia" w:ascii="Times New Roman" w:hAnsi="Times New Roman" w:cs="Times New Roman"/>
          <w:color w:val="auto"/>
          <w:kern w:val="1"/>
          <w:sz w:val="24"/>
          <w:highlight w:val="none"/>
        </w:rPr>
        <w:t>优良天数</w:t>
      </w:r>
      <w:r>
        <w:rPr>
          <w:rFonts w:hint="eastAsia" w:ascii="Times New Roman" w:hAnsi="Times New Roman" w:cs="Times New Roman"/>
          <w:color w:val="auto"/>
          <w:kern w:val="1"/>
          <w:sz w:val="24"/>
          <w:highlight w:val="none"/>
          <w:lang w:val="en-US" w:eastAsia="zh-CN"/>
        </w:rPr>
        <w:t>276天，同比增加32天</w:t>
      </w:r>
      <w:r>
        <w:rPr>
          <w:rFonts w:hint="eastAsia" w:ascii="Times New Roman" w:hAnsi="Times New Roman" w:cs="Times New Roman"/>
          <w:color w:val="auto"/>
          <w:kern w:val="1"/>
          <w:sz w:val="24"/>
          <w:highlight w:val="none"/>
          <w:lang w:eastAsia="zh-CN"/>
        </w:rPr>
        <w:t>。</w:t>
      </w:r>
      <w:r>
        <w:rPr>
          <w:rFonts w:hint="eastAsia" w:ascii="Times New Roman" w:hAnsi="Times New Roman" w:cs="Times New Roman"/>
          <w:color w:val="auto"/>
          <w:kern w:val="1"/>
          <w:sz w:val="24"/>
          <w:highlight w:val="none"/>
        </w:rPr>
        <w:t>截至</w:t>
      </w:r>
      <w:r>
        <w:rPr>
          <w:rFonts w:hint="eastAsia" w:ascii="Times New Roman" w:hAnsi="Times New Roman" w:cs="Times New Roman"/>
          <w:color w:val="auto"/>
          <w:kern w:val="1"/>
          <w:sz w:val="24"/>
          <w:highlight w:val="none"/>
          <w:lang w:val="en-US" w:eastAsia="zh-CN"/>
        </w:rPr>
        <w:t>年末</w:t>
      </w:r>
      <w:r>
        <w:rPr>
          <w:rFonts w:hint="eastAsia" w:ascii="Times New Roman" w:hAnsi="Times New Roman" w:cs="Times New Roman"/>
          <w:color w:val="auto"/>
          <w:kern w:val="1"/>
          <w:sz w:val="24"/>
          <w:highlight w:val="none"/>
        </w:rPr>
        <w:t>，全市</w:t>
      </w:r>
      <w:r>
        <w:rPr>
          <w:rFonts w:hint="eastAsia" w:ascii="Times New Roman" w:hAnsi="Times New Roman" w:cs="Times New Roman"/>
          <w:color w:val="auto"/>
          <w:kern w:val="1"/>
          <w:sz w:val="24"/>
          <w:highlight w:val="none"/>
          <w:lang w:val="en-US" w:eastAsia="zh-CN"/>
        </w:rPr>
        <w:t>17个国省控断面平均水质</w:t>
      </w:r>
      <w:r>
        <w:rPr>
          <w:rFonts w:hint="eastAsia" w:ascii="Times New Roman" w:hAnsi="Times New Roman" w:cs="Times New Roman"/>
          <w:color w:val="auto"/>
          <w:kern w:val="1"/>
          <w:sz w:val="24"/>
          <w:highlight w:val="none"/>
        </w:rPr>
        <w:t>全部达到目标值要求，达标率</w:t>
      </w:r>
      <w:r>
        <w:rPr>
          <w:rFonts w:hint="eastAsia" w:ascii="Times New Roman" w:hAnsi="Times New Roman" w:cs="Times New Roman"/>
          <w:color w:val="auto"/>
          <w:kern w:val="1"/>
          <w:sz w:val="24"/>
          <w:highlight w:val="none"/>
          <w:lang w:val="en-US" w:eastAsia="zh-CN"/>
        </w:rPr>
        <w:t>100</w:t>
      </w:r>
      <w:r>
        <w:rPr>
          <w:rFonts w:hint="eastAsia" w:ascii="Times New Roman" w:hAnsi="Times New Roman" w:cs="Times New Roman"/>
          <w:color w:val="auto"/>
          <w:kern w:val="1"/>
          <w:sz w:val="24"/>
          <w:highlight w:val="none"/>
        </w:rPr>
        <w:t>%；16个县级及以上城市集中式饮用水水源地水质达标率100%。</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cs="Times New Roman"/>
          <w:color w:val="auto"/>
          <w:kern w:val="1"/>
          <w:sz w:val="24"/>
          <w:highlight w:val="none"/>
        </w:rPr>
      </w:pPr>
      <w:r>
        <w:rPr>
          <w:rFonts w:hint="eastAsia" w:ascii="Times New Roman" w:hAnsi="Times New Roman" w:cs="Times New Roman"/>
          <w:color w:val="auto"/>
          <w:kern w:val="1"/>
          <w:sz w:val="24"/>
          <w:highlight w:val="none"/>
          <w:lang w:eastAsia="zh-CN"/>
        </w:rPr>
        <w:t>年</w:t>
      </w:r>
      <w:r>
        <w:rPr>
          <w:rFonts w:hint="eastAsia" w:ascii="Times New Roman" w:hAnsi="Times New Roman" w:cs="Times New Roman"/>
          <w:color w:val="auto"/>
          <w:kern w:val="1"/>
          <w:sz w:val="24"/>
          <w:highlight w:val="none"/>
        </w:rPr>
        <w:t>末</w:t>
      </w:r>
      <w:r>
        <w:rPr>
          <w:rFonts w:hint="eastAsia" w:ascii="Times New Roman" w:hAnsi="Times New Roman" w:cs="Times New Roman"/>
          <w:color w:val="auto"/>
          <w:kern w:val="1"/>
          <w:sz w:val="24"/>
          <w:highlight w:val="none"/>
          <w:lang w:eastAsia="zh-CN"/>
        </w:rPr>
        <w:t>全市</w:t>
      </w:r>
      <w:r>
        <w:rPr>
          <w:rFonts w:hint="eastAsia" w:ascii="Times New Roman" w:hAnsi="Times New Roman" w:cs="Times New Roman"/>
          <w:color w:val="auto"/>
          <w:kern w:val="1"/>
          <w:sz w:val="24"/>
          <w:highlight w:val="none"/>
        </w:rPr>
        <w:t>共有自然保护地</w:t>
      </w:r>
      <w:r>
        <w:rPr>
          <w:rFonts w:hint="eastAsia" w:ascii="Times New Roman" w:hAnsi="Times New Roman" w:cs="Times New Roman"/>
          <w:color w:val="auto"/>
          <w:kern w:val="1"/>
          <w:sz w:val="24"/>
          <w:highlight w:val="none"/>
          <w:lang w:val="en-US" w:eastAsia="zh-CN"/>
        </w:rPr>
        <w:t>21</w:t>
      </w:r>
      <w:r>
        <w:rPr>
          <w:rFonts w:hint="eastAsia" w:ascii="Times New Roman" w:hAnsi="Times New Roman" w:cs="Times New Roman"/>
          <w:color w:val="auto"/>
          <w:kern w:val="1"/>
          <w:sz w:val="24"/>
          <w:highlight w:val="none"/>
        </w:rPr>
        <w:t>个</w:t>
      </w:r>
      <w:r>
        <w:rPr>
          <w:rFonts w:hint="eastAsia" w:ascii="Times New Roman" w:hAnsi="Times New Roman" w:cs="Times New Roman"/>
          <w:color w:val="auto"/>
          <w:kern w:val="1"/>
          <w:sz w:val="24"/>
          <w:highlight w:val="none"/>
          <w:lang w:eastAsia="zh-CN"/>
        </w:rPr>
        <w:t>。</w:t>
      </w:r>
      <w:r>
        <w:rPr>
          <w:rFonts w:hint="eastAsia" w:ascii="Times New Roman" w:hAnsi="Times New Roman" w:cs="Times New Roman"/>
          <w:color w:val="auto"/>
          <w:kern w:val="1"/>
          <w:sz w:val="24"/>
          <w:highlight w:val="none"/>
        </w:rPr>
        <w:t>其中，湿地公园</w:t>
      </w:r>
      <w:r>
        <w:rPr>
          <w:rFonts w:hint="eastAsia" w:ascii="Times New Roman" w:hAnsi="Times New Roman" w:cs="Times New Roman"/>
          <w:color w:val="auto"/>
          <w:kern w:val="1"/>
          <w:sz w:val="24"/>
          <w:highlight w:val="none"/>
          <w:lang w:val="en-US" w:eastAsia="zh-CN"/>
        </w:rPr>
        <w:t>18</w:t>
      </w:r>
      <w:r>
        <w:rPr>
          <w:rFonts w:hint="eastAsia" w:ascii="Times New Roman" w:hAnsi="Times New Roman" w:cs="Times New Roman"/>
          <w:color w:val="auto"/>
          <w:kern w:val="1"/>
          <w:sz w:val="24"/>
          <w:highlight w:val="none"/>
        </w:rPr>
        <w:t>个，森林公园</w:t>
      </w:r>
      <w:r>
        <w:rPr>
          <w:rFonts w:hint="eastAsia" w:ascii="Times New Roman" w:hAnsi="Times New Roman" w:cs="Times New Roman"/>
          <w:color w:val="auto"/>
          <w:kern w:val="1"/>
          <w:sz w:val="24"/>
          <w:highlight w:val="none"/>
          <w:lang w:val="en-US" w:eastAsia="zh-CN"/>
        </w:rPr>
        <w:t>2</w:t>
      </w:r>
      <w:r>
        <w:rPr>
          <w:rFonts w:hint="eastAsia" w:ascii="Times New Roman" w:hAnsi="Times New Roman" w:cs="Times New Roman"/>
          <w:color w:val="auto"/>
          <w:kern w:val="1"/>
          <w:sz w:val="24"/>
          <w:highlight w:val="none"/>
        </w:rPr>
        <w:t>个，风景名胜区</w:t>
      </w:r>
      <w:r>
        <w:rPr>
          <w:rFonts w:hint="eastAsia" w:ascii="Times New Roman" w:hAnsi="Times New Roman" w:cs="Times New Roman"/>
          <w:color w:val="auto"/>
          <w:kern w:val="1"/>
          <w:sz w:val="24"/>
          <w:highlight w:val="none"/>
          <w:lang w:val="en-US" w:eastAsia="zh-CN"/>
        </w:rPr>
        <w:t>1</w:t>
      </w:r>
      <w:r>
        <w:rPr>
          <w:rFonts w:hint="eastAsia" w:ascii="Times New Roman" w:hAnsi="Times New Roman" w:cs="Times New Roman"/>
          <w:color w:val="auto"/>
          <w:kern w:val="1"/>
          <w:sz w:val="24"/>
          <w:highlight w:val="none"/>
        </w:rPr>
        <w:t>个。</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Times New Roman" w:hAnsi="Times New Roman"/>
          <w:color w:val="auto"/>
          <w:highlight w:val="none"/>
          <w:lang w:eastAsia="zh-CN"/>
        </w:rPr>
      </w:pPr>
      <w:r>
        <w:rPr>
          <w:rFonts w:hint="eastAsia" w:ascii="Times New Roman" w:hAnsi="Times New Roman" w:cs="Times New Roman"/>
          <w:color w:val="auto"/>
          <w:kern w:val="1"/>
          <w:sz w:val="24"/>
          <w:highlight w:val="none"/>
          <w:lang w:eastAsia="zh-CN"/>
        </w:rPr>
        <w:t>全年全市农作物受灾面积5.02万公顷，洪涝干旱和地质灾害造成直接经济损失1.4</w:t>
      </w:r>
      <w:r>
        <w:rPr>
          <w:rFonts w:hint="eastAsia" w:ascii="Times New Roman" w:hAnsi="Times New Roman" w:cs="Times New Roman"/>
          <w:color w:val="auto"/>
          <w:kern w:val="1"/>
          <w:sz w:val="24"/>
          <w:highlight w:val="none"/>
          <w:lang w:val="en-US" w:eastAsia="zh-CN"/>
        </w:rPr>
        <w:t>3</w:t>
      </w:r>
      <w:r>
        <w:rPr>
          <w:rFonts w:hint="eastAsia" w:ascii="Times New Roman" w:hAnsi="Times New Roman" w:cs="Times New Roman"/>
          <w:color w:val="auto"/>
          <w:kern w:val="1"/>
          <w:sz w:val="24"/>
          <w:highlight w:val="none"/>
          <w:lang w:eastAsia="zh-CN"/>
        </w:rPr>
        <w:t>亿元。</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ascii="Times New Roman" w:hAnsi="Times New Roman" w:eastAsia="楷体" w:cs="Times New Roman"/>
          <w:color w:val="auto"/>
          <w:kern w:val="1"/>
          <w:sz w:val="24"/>
          <w:highlight w:val="none"/>
        </w:rPr>
      </w:pPr>
      <w:r>
        <w:rPr>
          <w:rFonts w:hint="eastAsia" w:ascii="Times New Roman" w:hAnsi="Times New Roman" w:eastAsia="楷体" w:cs="Times New Roman"/>
          <w:color w:val="auto"/>
          <w:kern w:val="1"/>
          <w:sz w:val="24"/>
          <w:highlight w:val="none"/>
        </w:rPr>
        <w:t>注释</w:t>
      </w:r>
      <w:r>
        <w:rPr>
          <w:rFonts w:ascii="Times New Roman" w:hAnsi="Times New Roman" w:eastAsia="楷体" w:cs="Times New Roman"/>
          <w:color w:val="auto"/>
          <w:kern w:val="1"/>
          <w:sz w:val="24"/>
          <w:highlight w:val="none"/>
        </w:rPr>
        <w:t>：</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ascii="Times New Roman" w:hAnsi="Times New Roman" w:eastAsia="楷体" w:cs="Times New Roman"/>
          <w:color w:val="auto"/>
          <w:kern w:val="1"/>
          <w:sz w:val="24"/>
          <w:highlight w:val="none"/>
        </w:rPr>
      </w:pPr>
      <w:r>
        <w:rPr>
          <w:rFonts w:hint="eastAsia" w:ascii="Times New Roman" w:hAnsi="Times New Roman" w:eastAsia="楷体" w:cs="Times New Roman"/>
          <w:color w:val="auto"/>
          <w:kern w:val="1"/>
          <w:sz w:val="24"/>
          <w:highlight w:val="none"/>
          <w:lang w:val="en-US" w:eastAsia="zh-CN"/>
        </w:rPr>
        <w:t>1.</w:t>
      </w:r>
      <w:r>
        <w:rPr>
          <w:rFonts w:ascii="Times New Roman" w:hAnsi="Times New Roman" w:eastAsia="楷体" w:cs="Times New Roman"/>
          <w:color w:val="auto"/>
          <w:kern w:val="1"/>
          <w:sz w:val="24"/>
          <w:highlight w:val="none"/>
        </w:rPr>
        <w:t>本公报</w:t>
      </w:r>
      <w:r>
        <w:rPr>
          <w:rFonts w:hint="eastAsia" w:ascii="Times New Roman" w:hAnsi="Times New Roman" w:eastAsia="楷体" w:cs="Times New Roman"/>
          <w:color w:val="auto"/>
          <w:kern w:val="1"/>
          <w:sz w:val="24"/>
          <w:highlight w:val="none"/>
          <w:lang w:eastAsia="zh-CN"/>
        </w:rPr>
        <w:t>2025</w:t>
      </w:r>
      <w:r>
        <w:rPr>
          <w:rFonts w:ascii="Times New Roman" w:hAnsi="Times New Roman" w:eastAsia="楷体" w:cs="Times New Roman"/>
          <w:color w:val="auto"/>
          <w:kern w:val="1"/>
          <w:sz w:val="24"/>
          <w:highlight w:val="none"/>
        </w:rPr>
        <w:t>年数据为初步</w:t>
      </w:r>
      <w:r>
        <w:rPr>
          <w:rFonts w:hint="eastAsia" w:ascii="Times New Roman" w:hAnsi="Times New Roman" w:eastAsia="楷体" w:cs="Times New Roman"/>
          <w:color w:val="auto"/>
          <w:kern w:val="1"/>
          <w:sz w:val="24"/>
          <w:highlight w:val="none"/>
        </w:rPr>
        <w:t>统计结果</w:t>
      </w:r>
      <w:r>
        <w:rPr>
          <w:rFonts w:ascii="Times New Roman" w:hAnsi="Times New Roman" w:eastAsia="楷体" w:cs="Times New Roman"/>
          <w:color w:val="auto"/>
          <w:kern w:val="1"/>
          <w:sz w:val="24"/>
          <w:highlight w:val="none"/>
        </w:rPr>
        <w:t>。部分数据因四舍五入的原因，存在总计与分项合计不等的情况。</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eastAsia="楷体"/>
          <w:bCs w:val="0"/>
          <w:color w:val="auto"/>
          <w:kern w:val="1"/>
          <w:sz w:val="24"/>
          <w:highlight w:val="none"/>
          <w:lang w:val="en-US" w:eastAsia="zh-CN"/>
        </w:rPr>
      </w:pPr>
      <w:r>
        <w:rPr>
          <w:rFonts w:hint="eastAsia" w:ascii="Times New Roman" w:hAnsi="Times New Roman" w:eastAsia="楷体"/>
          <w:bCs w:val="0"/>
          <w:color w:val="auto"/>
          <w:kern w:val="1"/>
          <w:sz w:val="24"/>
          <w:highlight w:val="none"/>
          <w:lang w:val="en-US" w:eastAsia="zh-CN"/>
        </w:rPr>
        <w:t>2.生产总值、各产业增加值绝对数按现价计算，增长速度按不变价格计算。根据我国国民经济核算制度和第五次全国经济普查结果，2024年全市地区生产总值修订为3641.35亿元，比上年增长6.5%，三次产业结构为16.0:33.1:50.9，并对历史数据进行了修订。</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eastAsia="楷体" w:cs="Times New Roman"/>
          <w:color w:val="auto"/>
          <w:kern w:val="1"/>
          <w:sz w:val="24"/>
          <w:highlight w:val="none"/>
        </w:rPr>
      </w:pPr>
      <w:r>
        <w:rPr>
          <w:rFonts w:hint="eastAsia" w:ascii="Times New Roman" w:hAnsi="Times New Roman" w:eastAsia="楷体" w:cs="Times New Roman"/>
          <w:color w:val="auto"/>
          <w:kern w:val="1"/>
          <w:sz w:val="24"/>
          <w:highlight w:val="none"/>
          <w:lang w:val="en-US" w:eastAsia="zh-CN"/>
        </w:rPr>
        <w:t>3.</w:t>
      </w:r>
      <w:r>
        <w:rPr>
          <w:rFonts w:hint="eastAsia" w:ascii="Times New Roman" w:hAnsi="Times New Roman" w:eastAsia="楷体" w:cs="Times New Roman"/>
          <w:color w:val="auto"/>
          <w:kern w:val="1"/>
          <w:sz w:val="24"/>
          <w:highlight w:val="none"/>
        </w:rPr>
        <w:t>三次产业分类，依据国家统计局2018年修订的《三次产业划分规定》，分为第一产业、第二产业和第三产业。第一产业是指农、林、牧、渔业（不含农、林、牧、渔专业及辅助性活动）；第二产业是指采矿业（不含开采专业及辅助性活动），制造业（不含金属制品、机械和设备修理业），电力、热力、燃气及水生产和供应业，建筑业；第三产业即服务业，是指除第一产业、第二产业以外的其他行业（剔除国际组织）。</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eastAsia="楷体" w:cs="Times New Roman"/>
          <w:color w:val="auto"/>
          <w:kern w:val="1"/>
          <w:sz w:val="24"/>
          <w:highlight w:val="none"/>
          <w:lang w:val="en-US" w:eastAsia="zh-CN"/>
        </w:rPr>
      </w:pPr>
      <w:r>
        <w:rPr>
          <w:rFonts w:hint="eastAsia" w:ascii="Times New Roman" w:hAnsi="Times New Roman" w:eastAsia="楷体" w:cs="Times New Roman"/>
          <w:color w:val="auto"/>
          <w:kern w:val="1"/>
          <w:sz w:val="24"/>
          <w:highlight w:val="none"/>
          <w:lang w:val="en-US" w:eastAsia="zh-CN"/>
        </w:rPr>
        <w:t>4.高技术制造业根据国家统计局制定的《高技术产业（制造业）分类（2017）》确定。工业战略性新兴产业根据国务院第五次全国经济普查领导小组办公室印发的《工业战略性新兴产业分类目录（2023）》确定。</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200"/>
        <w:textAlignment w:val="auto"/>
        <w:rPr>
          <w:rFonts w:hint="eastAsia" w:ascii="Times New Roman" w:hAnsi="Times New Roman" w:eastAsia="楷体" w:cs="Times New Roman"/>
          <w:color w:val="auto"/>
          <w:kern w:val="1"/>
          <w:sz w:val="24"/>
          <w:highlight w:val="none"/>
          <w:lang w:eastAsia="zh-CN"/>
        </w:rPr>
      </w:pPr>
      <w:r>
        <w:rPr>
          <w:rFonts w:hint="eastAsia" w:ascii="Times New Roman" w:hAnsi="Times New Roman" w:eastAsia="楷体" w:cs="Times New Roman"/>
          <w:color w:val="auto"/>
          <w:kern w:val="1"/>
          <w:sz w:val="24"/>
          <w:highlight w:val="none"/>
          <w:lang w:val="en-US" w:eastAsia="zh-CN"/>
        </w:rPr>
        <w:t>5.</w:t>
      </w:r>
      <w:r>
        <w:rPr>
          <w:rFonts w:ascii="Times New Roman" w:hAnsi="Times New Roman" w:eastAsia="楷体" w:cs="Times New Roman"/>
          <w:color w:val="auto"/>
          <w:kern w:val="1"/>
          <w:sz w:val="24"/>
          <w:highlight w:val="none"/>
        </w:rPr>
        <w:t>资料来源：本公报中</w:t>
      </w:r>
      <w:r>
        <w:rPr>
          <w:rFonts w:hint="eastAsia" w:ascii="Times New Roman" w:hAnsi="Times New Roman" w:eastAsia="楷体" w:cs="Times New Roman"/>
          <w:color w:val="auto"/>
          <w:kern w:val="1"/>
          <w:sz w:val="24"/>
          <w:highlight w:val="none"/>
          <w:lang w:eastAsia="zh-CN"/>
        </w:rPr>
        <w:t>就业相关数据和</w:t>
      </w:r>
      <w:r>
        <w:rPr>
          <w:rFonts w:ascii="Times New Roman" w:hAnsi="Times New Roman" w:eastAsia="楷体" w:cs="Times New Roman"/>
          <w:color w:val="auto"/>
          <w:kern w:val="1"/>
          <w:sz w:val="24"/>
          <w:highlight w:val="none"/>
        </w:rPr>
        <w:t>参加养老、失业保险数据来自市人力资源和社会保障局；</w:t>
      </w:r>
      <w:r>
        <w:rPr>
          <w:rFonts w:hint="eastAsia" w:ascii="Times New Roman" w:hAnsi="Times New Roman" w:eastAsia="楷体" w:cs="Times New Roman"/>
          <w:color w:val="auto"/>
          <w:kern w:val="1"/>
          <w:sz w:val="24"/>
          <w:highlight w:val="none"/>
          <w:lang w:eastAsia="zh-CN"/>
        </w:rPr>
        <w:t>经营主体数据、</w:t>
      </w:r>
      <w:r>
        <w:rPr>
          <w:rFonts w:hint="eastAsia" w:ascii="Times New Roman" w:hAnsi="Times New Roman" w:eastAsia="楷体" w:cs="Times New Roman"/>
          <w:color w:val="auto"/>
          <w:kern w:val="1"/>
          <w:sz w:val="24"/>
          <w:highlight w:val="none"/>
        </w:rPr>
        <w:t>专利</w:t>
      </w:r>
      <w:r>
        <w:rPr>
          <w:rFonts w:ascii="Times New Roman" w:hAnsi="Times New Roman" w:eastAsia="楷体" w:cs="Times New Roman"/>
          <w:color w:val="auto"/>
          <w:kern w:val="1"/>
          <w:sz w:val="24"/>
          <w:highlight w:val="none"/>
        </w:rPr>
        <w:t>数据来自市</w:t>
      </w:r>
      <w:r>
        <w:rPr>
          <w:rFonts w:hint="eastAsia" w:ascii="Times New Roman" w:hAnsi="Times New Roman" w:eastAsia="楷体" w:cs="Times New Roman"/>
          <w:color w:val="auto"/>
          <w:kern w:val="1"/>
          <w:sz w:val="24"/>
          <w:highlight w:val="none"/>
        </w:rPr>
        <w:t>市场监管</w:t>
      </w:r>
      <w:r>
        <w:rPr>
          <w:rFonts w:ascii="Times New Roman" w:hAnsi="Times New Roman" w:eastAsia="楷体" w:cs="Times New Roman"/>
          <w:color w:val="auto"/>
          <w:kern w:val="1"/>
          <w:sz w:val="24"/>
          <w:highlight w:val="none"/>
        </w:rPr>
        <w:t>局；</w:t>
      </w:r>
      <w:r>
        <w:rPr>
          <w:rFonts w:hint="eastAsia" w:ascii="Times New Roman" w:hAnsi="Times New Roman" w:eastAsia="楷体" w:cs="Times New Roman"/>
          <w:color w:val="auto"/>
          <w:kern w:val="1"/>
          <w:sz w:val="24"/>
          <w:highlight w:val="none"/>
          <w:lang w:eastAsia="zh-CN"/>
        </w:rPr>
        <w:t>农业机械总动力、农业拖拉机</w:t>
      </w:r>
      <w:r>
        <w:rPr>
          <w:rFonts w:hint="eastAsia" w:ascii="Times New Roman" w:hAnsi="Times New Roman" w:eastAsia="楷体" w:cs="Times New Roman"/>
          <w:color w:val="auto"/>
          <w:kern w:val="1"/>
          <w:sz w:val="24"/>
          <w:highlight w:val="none"/>
        </w:rPr>
        <w:t>等数据来自市</w:t>
      </w:r>
      <w:r>
        <w:rPr>
          <w:rFonts w:hint="eastAsia" w:ascii="Times New Roman" w:hAnsi="Times New Roman" w:eastAsia="楷体" w:cs="Times New Roman"/>
          <w:color w:val="auto"/>
          <w:kern w:val="1"/>
          <w:sz w:val="24"/>
          <w:highlight w:val="none"/>
          <w:lang w:eastAsia="zh-CN"/>
        </w:rPr>
        <w:t>农机技术中心</w:t>
      </w:r>
      <w:r>
        <w:rPr>
          <w:rFonts w:hint="eastAsia" w:ascii="Times New Roman" w:hAnsi="Times New Roman" w:eastAsia="楷体" w:cs="Times New Roman"/>
          <w:color w:val="auto"/>
          <w:kern w:val="1"/>
          <w:sz w:val="24"/>
          <w:highlight w:val="none"/>
        </w:rPr>
        <w:t>；有效期内绿色食品等</w:t>
      </w:r>
      <w:r>
        <w:rPr>
          <w:rFonts w:hint="eastAsia" w:ascii="Times New Roman" w:hAnsi="Times New Roman" w:eastAsia="楷体" w:cs="Times New Roman"/>
          <w:color w:val="auto"/>
          <w:kern w:val="1"/>
          <w:sz w:val="24"/>
          <w:highlight w:val="none"/>
          <w:lang w:eastAsia="zh-CN"/>
        </w:rPr>
        <w:t>农业</w:t>
      </w:r>
      <w:r>
        <w:rPr>
          <w:rFonts w:hint="eastAsia" w:ascii="Times New Roman" w:hAnsi="Times New Roman" w:eastAsia="楷体" w:cs="Times New Roman"/>
          <w:color w:val="auto"/>
          <w:kern w:val="1"/>
          <w:sz w:val="24"/>
          <w:highlight w:val="none"/>
        </w:rPr>
        <w:t>数据来自市农业农村局；</w:t>
      </w:r>
      <w:r>
        <w:rPr>
          <w:rFonts w:ascii="Times New Roman" w:hAnsi="Times New Roman" w:eastAsia="楷体" w:cs="Times New Roman"/>
          <w:color w:val="auto"/>
          <w:kern w:val="1"/>
          <w:sz w:val="24"/>
          <w:highlight w:val="none"/>
        </w:rPr>
        <w:t>公路数据来自市交通</w:t>
      </w:r>
      <w:r>
        <w:rPr>
          <w:rFonts w:hint="eastAsia" w:ascii="Times New Roman" w:hAnsi="Times New Roman" w:eastAsia="楷体" w:cs="Times New Roman"/>
          <w:color w:val="auto"/>
          <w:kern w:val="1"/>
          <w:sz w:val="24"/>
          <w:highlight w:val="none"/>
          <w:lang w:eastAsia="zh-CN"/>
        </w:rPr>
        <w:t>运输</w:t>
      </w:r>
      <w:r>
        <w:rPr>
          <w:rFonts w:ascii="Times New Roman" w:hAnsi="Times New Roman" w:eastAsia="楷体" w:cs="Times New Roman"/>
          <w:color w:val="auto"/>
          <w:kern w:val="1"/>
          <w:sz w:val="24"/>
          <w:highlight w:val="none"/>
        </w:rPr>
        <w:t>局；</w:t>
      </w:r>
      <w:r>
        <w:rPr>
          <w:rFonts w:hint="eastAsia" w:ascii="Times New Roman" w:hAnsi="Times New Roman" w:eastAsia="楷体" w:cs="Times New Roman"/>
          <w:color w:val="auto"/>
          <w:kern w:val="1"/>
          <w:sz w:val="24"/>
          <w:highlight w:val="none"/>
          <w:lang w:eastAsia="zh-CN"/>
        </w:rPr>
        <w:t>铁路数据来自漯阜铁路公司；高铁数据来自市发展改革委；水运运输、</w:t>
      </w:r>
      <w:r>
        <w:rPr>
          <w:rFonts w:hint="eastAsia" w:ascii="Times New Roman" w:hAnsi="Times New Roman" w:eastAsia="楷体" w:cs="Times New Roman"/>
          <w:color w:val="auto"/>
          <w:kern w:val="1"/>
          <w:sz w:val="24"/>
          <w:highlight w:val="none"/>
        </w:rPr>
        <w:t>港口数据来自市港航局</w:t>
      </w:r>
      <w:r>
        <w:rPr>
          <w:rFonts w:hint="eastAsia" w:ascii="Times New Roman" w:hAnsi="Times New Roman" w:eastAsia="楷体" w:cs="Times New Roman"/>
          <w:color w:val="auto"/>
          <w:kern w:val="1"/>
          <w:sz w:val="24"/>
          <w:highlight w:val="none"/>
          <w:lang w:eastAsia="zh-CN"/>
        </w:rPr>
        <w:t>、临港开发区码头运营管理办公室</w:t>
      </w:r>
      <w:r>
        <w:rPr>
          <w:rFonts w:hint="eastAsia" w:ascii="Times New Roman" w:hAnsi="Times New Roman" w:eastAsia="楷体" w:cs="Times New Roman"/>
          <w:color w:val="auto"/>
          <w:kern w:val="1"/>
          <w:sz w:val="24"/>
          <w:highlight w:val="none"/>
        </w:rPr>
        <w:t>；</w:t>
      </w:r>
      <w:r>
        <w:rPr>
          <w:rFonts w:ascii="Times New Roman" w:hAnsi="Times New Roman" w:eastAsia="楷体" w:cs="Times New Roman"/>
          <w:color w:val="auto"/>
          <w:kern w:val="1"/>
          <w:sz w:val="24"/>
          <w:highlight w:val="none"/>
        </w:rPr>
        <w:t>邮政数据来自市邮政管理局；电信数据来自市通信管理</w:t>
      </w:r>
      <w:r>
        <w:rPr>
          <w:rFonts w:hint="eastAsia" w:ascii="Times New Roman" w:hAnsi="Times New Roman" w:eastAsia="楷体" w:cs="Times New Roman"/>
          <w:color w:val="auto"/>
          <w:kern w:val="1"/>
          <w:sz w:val="24"/>
          <w:highlight w:val="none"/>
          <w:lang w:eastAsia="zh-CN"/>
        </w:rPr>
        <w:t>办</w:t>
      </w:r>
      <w:r>
        <w:rPr>
          <w:rFonts w:ascii="Times New Roman" w:hAnsi="Times New Roman" w:eastAsia="楷体" w:cs="Times New Roman"/>
          <w:color w:val="auto"/>
          <w:kern w:val="1"/>
          <w:sz w:val="24"/>
          <w:highlight w:val="none"/>
        </w:rPr>
        <w:t>；</w:t>
      </w:r>
      <w:r>
        <w:rPr>
          <w:rFonts w:hint="eastAsia" w:ascii="Times New Roman" w:hAnsi="Times New Roman" w:eastAsia="楷体" w:cs="Times New Roman"/>
          <w:color w:val="auto"/>
          <w:kern w:val="1"/>
          <w:sz w:val="24"/>
          <w:highlight w:val="none"/>
          <w:lang w:eastAsia="zh-CN"/>
        </w:rPr>
        <w:t>对外贸易</w:t>
      </w:r>
      <w:r>
        <w:rPr>
          <w:rFonts w:ascii="Times New Roman" w:hAnsi="Times New Roman" w:eastAsia="楷体" w:cs="Times New Roman"/>
          <w:color w:val="auto"/>
          <w:kern w:val="1"/>
          <w:sz w:val="24"/>
          <w:highlight w:val="none"/>
        </w:rPr>
        <w:t>数据来自市商务局；财政数据来自市财政局；金融数据来自</w:t>
      </w:r>
      <w:r>
        <w:rPr>
          <w:rFonts w:hint="eastAsia" w:ascii="Times New Roman" w:hAnsi="Times New Roman" w:eastAsia="楷体" w:cs="Times New Roman"/>
          <w:color w:val="auto"/>
          <w:kern w:val="1"/>
          <w:sz w:val="24"/>
          <w:highlight w:val="none"/>
        </w:rPr>
        <w:t>中国人民银行</w:t>
      </w:r>
      <w:r>
        <w:rPr>
          <w:rFonts w:ascii="Times New Roman" w:hAnsi="Times New Roman" w:eastAsia="楷体" w:cs="Times New Roman"/>
          <w:color w:val="auto"/>
          <w:kern w:val="1"/>
          <w:sz w:val="24"/>
          <w:highlight w:val="none"/>
        </w:rPr>
        <w:t>周口</w:t>
      </w:r>
      <w:r>
        <w:rPr>
          <w:rFonts w:hint="eastAsia" w:ascii="Times New Roman" w:hAnsi="Times New Roman" w:eastAsia="楷体" w:cs="Times New Roman"/>
          <w:color w:val="auto"/>
          <w:kern w:val="1"/>
          <w:sz w:val="24"/>
          <w:highlight w:val="none"/>
        </w:rPr>
        <w:t>中心</w:t>
      </w:r>
      <w:r>
        <w:rPr>
          <w:rFonts w:ascii="Times New Roman" w:hAnsi="Times New Roman" w:eastAsia="楷体" w:cs="Times New Roman"/>
          <w:color w:val="auto"/>
          <w:kern w:val="1"/>
          <w:sz w:val="24"/>
          <w:highlight w:val="none"/>
        </w:rPr>
        <w:t>支行；</w:t>
      </w:r>
      <w:r>
        <w:rPr>
          <w:rFonts w:hint="eastAsia" w:ascii="Times New Roman" w:hAnsi="Times New Roman" w:eastAsia="楷体" w:cs="Times New Roman"/>
          <w:color w:val="auto"/>
          <w:kern w:val="1"/>
          <w:sz w:val="24"/>
          <w:highlight w:val="none"/>
        </w:rPr>
        <w:t>医疗、生育保险数据来自市</w:t>
      </w:r>
      <w:r>
        <w:rPr>
          <w:rFonts w:hint="eastAsia" w:ascii="Times New Roman" w:hAnsi="Times New Roman" w:eastAsia="楷体" w:cs="Times New Roman"/>
          <w:color w:val="auto"/>
          <w:kern w:val="1"/>
          <w:sz w:val="24"/>
          <w:highlight w:val="none"/>
          <w:lang w:eastAsia="zh-CN"/>
        </w:rPr>
        <w:t>医疗保障局</w:t>
      </w:r>
      <w:r>
        <w:rPr>
          <w:rFonts w:hint="eastAsia" w:ascii="Times New Roman" w:hAnsi="Times New Roman" w:eastAsia="楷体" w:cs="Times New Roman"/>
          <w:color w:val="auto"/>
          <w:kern w:val="1"/>
          <w:sz w:val="24"/>
          <w:highlight w:val="none"/>
        </w:rPr>
        <w:t>；</w:t>
      </w:r>
      <w:r>
        <w:rPr>
          <w:rFonts w:hint="eastAsia" w:ascii="Times New Roman" w:hAnsi="Times New Roman" w:eastAsia="楷体" w:cs="Times New Roman"/>
          <w:color w:val="auto"/>
          <w:kern w:val="1"/>
          <w:sz w:val="24"/>
          <w:highlight w:val="none"/>
          <w:lang w:eastAsia="zh-CN"/>
        </w:rPr>
        <w:t>科技进步奖、高新技术企业等相关数据</w:t>
      </w:r>
      <w:r>
        <w:rPr>
          <w:rFonts w:ascii="Times New Roman" w:hAnsi="Times New Roman" w:eastAsia="楷体" w:cs="Times New Roman"/>
          <w:color w:val="auto"/>
          <w:kern w:val="1"/>
          <w:sz w:val="24"/>
          <w:highlight w:val="none"/>
        </w:rPr>
        <w:t>来自市</w:t>
      </w:r>
      <w:r>
        <w:rPr>
          <w:rFonts w:hint="eastAsia" w:ascii="Times New Roman" w:hAnsi="Times New Roman" w:eastAsia="楷体" w:cs="Times New Roman"/>
          <w:color w:val="auto"/>
          <w:kern w:val="1"/>
          <w:sz w:val="24"/>
          <w:highlight w:val="none"/>
          <w:lang w:eastAsia="zh-CN"/>
        </w:rPr>
        <w:t>科技局</w:t>
      </w:r>
      <w:r>
        <w:rPr>
          <w:rFonts w:ascii="Times New Roman" w:hAnsi="Times New Roman" w:eastAsia="楷体" w:cs="Times New Roman"/>
          <w:color w:val="auto"/>
          <w:kern w:val="1"/>
          <w:sz w:val="24"/>
          <w:highlight w:val="none"/>
        </w:rPr>
        <w:t>；</w:t>
      </w:r>
      <w:r>
        <w:rPr>
          <w:rFonts w:hint="eastAsia" w:ascii="Times New Roman" w:hAnsi="Times New Roman" w:eastAsia="楷体" w:cs="Times New Roman"/>
          <w:color w:val="auto"/>
          <w:kern w:val="1"/>
          <w:sz w:val="24"/>
          <w:highlight w:val="none"/>
          <w:lang w:eastAsia="zh-CN"/>
        </w:rPr>
        <w:t>创新型、“专精特新”中小企业和智能化改造项目、智能工厂（车间）等相关数据来自市工信局；</w:t>
      </w:r>
      <w:r>
        <w:rPr>
          <w:rFonts w:ascii="Times New Roman" w:hAnsi="Times New Roman" w:eastAsia="楷体" w:cs="Times New Roman"/>
          <w:color w:val="auto"/>
          <w:kern w:val="1"/>
          <w:sz w:val="24"/>
          <w:highlight w:val="none"/>
        </w:rPr>
        <w:t>教育</w:t>
      </w:r>
      <w:r>
        <w:rPr>
          <w:rFonts w:hint="eastAsia" w:ascii="Times New Roman" w:hAnsi="Times New Roman" w:eastAsia="楷体" w:cs="Times New Roman"/>
          <w:color w:val="auto"/>
          <w:kern w:val="1"/>
          <w:sz w:val="24"/>
          <w:highlight w:val="none"/>
        </w:rPr>
        <w:t>、体育</w:t>
      </w:r>
      <w:r>
        <w:rPr>
          <w:rFonts w:ascii="Times New Roman" w:hAnsi="Times New Roman" w:eastAsia="楷体" w:cs="Times New Roman"/>
          <w:color w:val="auto"/>
          <w:kern w:val="1"/>
          <w:sz w:val="24"/>
          <w:highlight w:val="none"/>
        </w:rPr>
        <w:t>数据来自市</w:t>
      </w:r>
      <w:r>
        <w:rPr>
          <w:rFonts w:hint="eastAsia" w:ascii="Times New Roman" w:hAnsi="Times New Roman" w:eastAsia="楷体" w:cs="Times New Roman"/>
          <w:color w:val="auto"/>
          <w:kern w:val="1"/>
          <w:sz w:val="24"/>
          <w:highlight w:val="none"/>
          <w:lang w:eastAsia="zh-CN"/>
        </w:rPr>
        <w:t>教育体育</w:t>
      </w:r>
      <w:r>
        <w:rPr>
          <w:rFonts w:ascii="Times New Roman" w:hAnsi="Times New Roman" w:eastAsia="楷体" w:cs="Times New Roman"/>
          <w:color w:val="auto"/>
          <w:kern w:val="1"/>
          <w:sz w:val="24"/>
          <w:highlight w:val="none"/>
        </w:rPr>
        <w:t>局；旅游</w:t>
      </w:r>
      <w:r>
        <w:rPr>
          <w:rFonts w:hint="eastAsia" w:ascii="Times New Roman" w:hAnsi="Times New Roman" w:eastAsia="楷体" w:cs="Times New Roman"/>
          <w:color w:val="auto"/>
          <w:kern w:val="1"/>
          <w:sz w:val="24"/>
          <w:highlight w:val="none"/>
          <w:lang w:eastAsia="zh-CN"/>
        </w:rPr>
        <w:t>、文化</w:t>
      </w:r>
      <w:r>
        <w:rPr>
          <w:rFonts w:ascii="Times New Roman" w:hAnsi="Times New Roman" w:eastAsia="楷体" w:cs="Times New Roman"/>
          <w:color w:val="auto"/>
          <w:kern w:val="1"/>
          <w:sz w:val="24"/>
          <w:highlight w:val="none"/>
        </w:rPr>
        <w:t>数据来自市文广旅局；医疗卫生数据来自市</w:t>
      </w:r>
      <w:r>
        <w:rPr>
          <w:rFonts w:hint="eastAsia" w:ascii="Times New Roman" w:hAnsi="Times New Roman" w:eastAsia="楷体" w:cs="Times New Roman"/>
          <w:color w:val="auto"/>
          <w:kern w:val="1"/>
          <w:sz w:val="24"/>
          <w:highlight w:val="none"/>
          <w:lang w:eastAsia="zh-CN"/>
        </w:rPr>
        <w:t>卫生健康</w:t>
      </w:r>
      <w:r>
        <w:rPr>
          <w:rFonts w:hint="eastAsia" w:ascii="Times New Roman" w:hAnsi="Times New Roman" w:eastAsia="楷体" w:cs="Times New Roman"/>
          <w:color w:val="auto"/>
          <w:kern w:val="1"/>
          <w:sz w:val="24"/>
          <w:highlight w:val="none"/>
        </w:rPr>
        <w:t>委</w:t>
      </w:r>
      <w:r>
        <w:rPr>
          <w:rFonts w:ascii="Times New Roman" w:hAnsi="Times New Roman" w:eastAsia="楷体" w:cs="Times New Roman"/>
          <w:color w:val="auto"/>
          <w:kern w:val="1"/>
          <w:sz w:val="24"/>
          <w:highlight w:val="none"/>
        </w:rPr>
        <w:t>；</w:t>
      </w:r>
      <w:r>
        <w:rPr>
          <w:rFonts w:hint="eastAsia" w:ascii="Times New Roman" w:hAnsi="Times New Roman" w:eastAsia="楷体" w:cs="Times New Roman"/>
          <w:color w:val="auto"/>
          <w:kern w:val="1"/>
          <w:sz w:val="24"/>
          <w:highlight w:val="none"/>
          <w:lang w:eastAsia="zh-CN"/>
        </w:rPr>
        <w:t>低保相关数据来自市民政局；</w:t>
      </w:r>
      <w:r>
        <w:rPr>
          <w:rFonts w:ascii="Times New Roman" w:hAnsi="Times New Roman" w:eastAsia="楷体" w:cs="Times New Roman"/>
          <w:color w:val="auto"/>
          <w:kern w:val="1"/>
          <w:sz w:val="24"/>
          <w:highlight w:val="none"/>
        </w:rPr>
        <w:t>环保状况、水质状况、空气状况来自市</w:t>
      </w:r>
      <w:r>
        <w:rPr>
          <w:rFonts w:hint="eastAsia" w:ascii="Times New Roman" w:hAnsi="Times New Roman" w:eastAsia="楷体" w:cs="Times New Roman"/>
          <w:color w:val="auto"/>
          <w:kern w:val="1"/>
          <w:sz w:val="24"/>
          <w:highlight w:val="none"/>
          <w:lang w:eastAsia="zh-CN"/>
        </w:rPr>
        <w:t>生态环境</w:t>
      </w:r>
      <w:r>
        <w:rPr>
          <w:rFonts w:ascii="Times New Roman" w:hAnsi="Times New Roman" w:eastAsia="楷体" w:cs="Times New Roman"/>
          <w:color w:val="auto"/>
          <w:kern w:val="1"/>
          <w:sz w:val="24"/>
          <w:highlight w:val="none"/>
        </w:rPr>
        <w:t>局；</w:t>
      </w:r>
      <w:r>
        <w:rPr>
          <w:rFonts w:hint="eastAsia" w:ascii="Times New Roman" w:hAnsi="Times New Roman" w:eastAsia="楷体" w:cs="Times New Roman"/>
          <w:color w:val="auto"/>
          <w:kern w:val="1"/>
          <w:sz w:val="24"/>
          <w:highlight w:val="none"/>
          <w:lang w:eastAsia="zh-CN"/>
        </w:rPr>
        <w:t>自然保护地数据来自市自然资源规划局；安全生产数据来自市应急管理局（受灾数据来自国家自然灾害灾情管理系统）；各种价格、</w:t>
      </w:r>
      <w:r>
        <w:rPr>
          <w:rFonts w:hint="eastAsia" w:ascii="Times New Roman" w:hAnsi="Times New Roman" w:eastAsia="楷体" w:cs="Times New Roman"/>
          <w:color w:val="auto"/>
          <w:kern w:val="1"/>
          <w:sz w:val="24"/>
          <w:highlight w:val="none"/>
        </w:rPr>
        <w:t>粮食数据、</w:t>
      </w:r>
      <w:r>
        <w:rPr>
          <w:rFonts w:hint="eastAsia" w:ascii="Times New Roman" w:hAnsi="Times New Roman" w:eastAsia="楷体" w:cs="Times New Roman"/>
          <w:color w:val="auto"/>
          <w:kern w:val="1"/>
          <w:sz w:val="24"/>
          <w:highlight w:val="none"/>
          <w:lang w:eastAsia="zh-CN"/>
        </w:rPr>
        <w:t>畜牧业数据、居民收支</w:t>
      </w:r>
      <w:r>
        <w:rPr>
          <w:rFonts w:ascii="Times New Roman" w:hAnsi="Times New Roman" w:eastAsia="楷体" w:cs="Times New Roman"/>
          <w:color w:val="auto"/>
          <w:kern w:val="1"/>
          <w:sz w:val="24"/>
          <w:highlight w:val="none"/>
        </w:rPr>
        <w:t>数据</w:t>
      </w:r>
      <w:r>
        <w:rPr>
          <w:rFonts w:hint="eastAsia" w:ascii="Times New Roman" w:hAnsi="Times New Roman" w:eastAsia="楷体" w:cs="Times New Roman"/>
          <w:color w:val="auto"/>
          <w:kern w:val="1"/>
          <w:sz w:val="24"/>
          <w:highlight w:val="none"/>
        </w:rPr>
        <w:t>来自国家统计局周口调查队；其他数据来自市统计局</w:t>
      </w:r>
      <w:r>
        <w:rPr>
          <w:rFonts w:ascii="Times New Roman" w:hAnsi="Times New Roman" w:eastAsia="楷体" w:cs="Times New Roman"/>
          <w:color w:val="auto"/>
          <w:kern w:val="1"/>
          <w:sz w:val="24"/>
          <w:highlight w:val="none"/>
        </w:rPr>
        <w:t>。</w:t>
      </w: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Menlo">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Nimbus Roman No9 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posOffset>2540635</wp:posOffset>
              </wp:positionH>
              <wp:positionV relativeFrom="paragraph">
                <wp:posOffset>0</wp:posOffset>
              </wp:positionV>
              <wp:extent cx="701040" cy="139700"/>
              <wp:effectExtent l="0" t="0" r="0" b="0"/>
              <wp:wrapNone/>
              <wp:docPr id="1" name="Text Box 1025"/>
              <wp:cNvGraphicFramePr/>
              <a:graphic xmlns:a="http://schemas.openxmlformats.org/drawingml/2006/main">
                <a:graphicData uri="http://schemas.microsoft.com/office/word/2010/wordprocessingShape">
                  <wps:wsp>
                    <wps:cNvSpPr txBox="1">
                      <a:spLocks noChangeArrowheads="1"/>
                    </wps:cNvSpPr>
                    <wps:spPr bwMode="auto">
                      <a:xfrm>
                        <a:off x="0" y="0"/>
                        <a:ext cx="701040" cy="139700"/>
                      </a:xfrm>
                      <a:prstGeom prst="rect">
                        <a:avLst/>
                      </a:prstGeom>
                      <a:noFill/>
                      <a:ln>
                        <a:noFill/>
                      </a:ln>
                    </wps:spPr>
                    <wps:txbx>
                      <w:txbxContent>
                        <w:p>
                          <w:pPr>
                            <w:snapToGrid w:val="0"/>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- 4 -</w:t>
                          </w:r>
                          <w:r>
                            <w:rPr>
                              <w:rFonts w:hint="eastAsia" w:asciiTheme="minorEastAsia" w:hAnsiTheme="minorEastAsia" w:eastAsiaTheme="minorEastAsia" w:cstheme="minorEastAsia"/>
                              <w:sz w:val="28"/>
                              <w:szCs w:val="28"/>
                            </w:rPr>
                            <w:fldChar w:fldCharType="end"/>
                          </w:r>
                        </w:p>
                      </w:txbxContent>
                    </wps:txbx>
                    <wps:bodyPr rot="0" vert="horz" wrap="square" lIns="0" tIns="0" rIns="0" bIns="0" anchor="t" anchorCtr="0" upright="1">
                      <a:spAutoFit/>
                    </wps:bodyPr>
                  </wps:wsp>
                </a:graphicData>
              </a:graphic>
            </wp:anchor>
          </w:drawing>
        </mc:Choice>
        <mc:Fallback>
          <w:pict>
            <v:shape id="Text Box 1025" o:spid="_x0000_s1026" o:spt="202" type="#_x0000_t202" style="position:absolute;left:0pt;margin-left:200.05pt;margin-top:0pt;height:11pt;width:55.2pt;mso-position-horizontal-relative:margin;z-index:251659264;mso-width-relative:page;mso-height-relative:page;" filled="f" stroked="f" coordsize="21600,21600" o:gfxdata="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">
              <v:fill on="f" focussize="0,0"/>
              <v:stroke on="f"/>
              <v:imagedata o:title=""/>
              <o:lock v:ext="edit" aspectratio="f"/>
              <v:textbox inset="0mm,0mm,0mm,0mm" style="mso-fit-shape-to-text:t;">
                <w:txbxContent>
                  <w:p>
                    <w:pPr>
                      <w:snapToGrid w:val="0"/>
                      <w:rPr>
                        <w:rFonts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asciiTheme="minorEastAsia" w:hAnsiTheme="minorEastAsia" w:eastAsiaTheme="minorEastAsia" w:cstheme="minorEastAsia"/>
                        <w:sz w:val="28"/>
                        <w:szCs w:val="28"/>
                      </w:rPr>
                      <w:t>- 4 -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JlMzIwMzQ4MjM2Y2NhNmU5OTAxZDQ2ZWU2YTU1YmQifQ=="/>
  </w:docVars>
  <w:rsids>
    <w:rsidRoot w:val="00B0068E"/>
    <w:rsid w:val="000D6B34"/>
    <w:rsid w:val="0016459D"/>
    <w:rsid w:val="00207774"/>
    <w:rsid w:val="00266718"/>
    <w:rsid w:val="002C309A"/>
    <w:rsid w:val="002F50A2"/>
    <w:rsid w:val="003A1F3C"/>
    <w:rsid w:val="003E5204"/>
    <w:rsid w:val="00403708"/>
    <w:rsid w:val="004118A4"/>
    <w:rsid w:val="00495AA8"/>
    <w:rsid w:val="004B5B83"/>
    <w:rsid w:val="00533022"/>
    <w:rsid w:val="00544B75"/>
    <w:rsid w:val="005755EF"/>
    <w:rsid w:val="005E3F43"/>
    <w:rsid w:val="00711644"/>
    <w:rsid w:val="00723B6C"/>
    <w:rsid w:val="007C6963"/>
    <w:rsid w:val="007F153D"/>
    <w:rsid w:val="00905357"/>
    <w:rsid w:val="009F13A9"/>
    <w:rsid w:val="00A20AC3"/>
    <w:rsid w:val="00A5143E"/>
    <w:rsid w:val="00A57218"/>
    <w:rsid w:val="00AA543C"/>
    <w:rsid w:val="00AF3D6A"/>
    <w:rsid w:val="00B0068E"/>
    <w:rsid w:val="00BA37C5"/>
    <w:rsid w:val="00BF2DCF"/>
    <w:rsid w:val="00C54B4F"/>
    <w:rsid w:val="00C724C2"/>
    <w:rsid w:val="00D95BE7"/>
    <w:rsid w:val="00E62D51"/>
    <w:rsid w:val="02770B0F"/>
    <w:rsid w:val="03F44B91"/>
    <w:rsid w:val="06314738"/>
    <w:rsid w:val="06430726"/>
    <w:rsid w:val="07BC63DE"/>
    <w:rsid w:val="0A9520BC"/>
    <w:rsid w:val="0D952FEF"/>
    <w:rsid w:val="0DF3BC35"/>
    <w:rsid w:val="0E411DB8"/>
    <w:rsid w:val="0EFF5417"/>
    <w:rsid w:val="0EFF9007"/>
    <w:rsid w:val="0F5FE335"/>
    <w:rsid w:val="0F6FC94E"/>
    <w:rsid w:val="0F7B01BF"/>
    <w:rsid w:val="106F69AA"/>
    <w:rsid w:val="109376FA"/>
    <w:rsid w:val="125F3CC1"/>
    <w:rsid w:val="12ED4754"/>
    <w:rsid w:val="13CF85AC"/>
    <w:rsid w:val="147E456B"/>
    <w:rsid w:val="156F0307"/>
    <w:rsid w:val="15A106F2"/>
    <w:rsid w:val="15DB580B"/>
    <w:rsid w:val="166FF5FE"/>
    <w:rsid w:val="16DF7229"/>
    <w:rsid w:val="171E3802"/>
    <w:rsid w:val="17BF8017"/>
    <w:rsid w:val="17FDBFF8"/>
    <w:rsid w:val="1861692D"/>
    <w:rsid w:val="18D075E7"/>
    <w:rsid w:val="196C7F91"/>
    <w:rsid w:val="19B4308D"/>
    <w:rsid w:val="19BD7254"/>
    <w:rsid w:val="19CE163C"/>
    <w:rsid w:val="1A396C03"/>
    <w:rsid w:val="1BAC85D5"/>
    <w:rsid w:val="1BB745E4"/>
    <w:rsid w:val="1BC764C1"/>
    <w:rsid w:val="1BFBE402"/>
    <w:rsid w:val="1CA44F43"/>
    <w:rsid w:val="1CB3CFE2"/>
    <w:rsid w:val="1CB97D41"/>
    <w:rsid w:val="1CEF5B36"/>
    <w:rsid w:val="1CF96EE4"/>
    <w:rsid w:val="1D5D243D"/>
    <w:rsid w:val="1D7F57DB"/>
    <w:rsid w:val="1D8745E0"/>
    <w:rsid w:val="1DCF60B3"/>
    <w:rsid w:val="1DD12D29"/>
    <w:rsid w:val="1DEF6FF3"/>
    <w:rsid w:val="1EA35121"/>
    <w:rsid w:val="1EB66707"/>
    <w:rsid w:val="1EE342D9"/>
    <w:rsid w:val="1EE35B22"/>
    <w:rsid w:val="1F96B944"/>
    <w:rsid w:val="1FEE0FF7"/>
    <w:rsid w:val="1FEF26E3"/>
    <w:rsid w:val="1FF756C0"/>
    <w:rsid w:val="1FFDF7DC"/>
    <w:rsid w:val="20D7A4E1"/>
    <w:rsid w:val="21831890"/>
    <w:rsid w:val="2191411F"/>
    <w:rsid w:val="22E24B7F"/>
    <w:rsid w:val="270153C0"/>
    <w:rsid w:val="273E4BA1"/>
    <w:rsid w:val="27738884"/>
    <w:rsid w:val="27E77051"/>
    <w:rsid w:val="28C13A14"/>
    <w:rsid w:val="29E9B38D"/>
    <w:rsid w:val="2AA73737"/>
    <w:rsid w:val="2ADDD53D"/>
    <w:rsid w:val="2AE00C88"/>
    <w:rsid w:val="2B355336"/>
    <w:rsid w:val="2BAF201E"/>
    <w:rsid w:val="2BDF5010"/>
    <w:rsid w:val="2BFF02CF"/>
    <w:rsid w:val="2D8533C9"/>
    <w:rsid w:val="2DE57910"/>
    <w:rsid w:val="2DFE3331"/>
    <w:rsid w:val="2E5074CD"/>
    <w:rsid w:val="2EEE9E81"/>
    <w:rsid w:val="2F1BDD5A"/>
    <w:rsid w:val="2FAD4E41"/>
    <w:rsid w:val="32AC4141"/>
    <w:rsid w:val="32FA2702"/>
    <w:rsid w:val="33F92A00"/>
    <w:rsid w:val="33FBC2E8"/>
    <w:rsid w:val="340E5685"/>
    <w:rsid w:val="34167907"/>
    <w:rsid w:val="34277ABB"/>
    <w:rsid w:val="34FC3148"/>
    <w:rsid w:val="357F2677"/>
    <w:rsid w:val="35ED7A04"/>
    <w:rsid w:val="35FAA509"/>
    <w:rsid w:val="36327974"/>
    <w:rsid w:val="36B7766B"/>
    <w:rsid w:val="36CDF842"/>
    <w:rsid w:val="36F95023"/>
    <w:rsid w:val="373F7781"/>
    <w:rsid w:val="377FBCB9"/>
    <w:rsid w:val="379E5458"/>
    <w:rsid w:val="37AD43C0"/>
    <w:rsid w:val="37D42812"/>
    <w:rsid w:val="37DB064A"/>
    <w:rsid w:val="37E93E5B"/>
    <w:rsid w:val="37FE5DCD"/>
    <w:rsid w:val="37FF0489"/>
    <w:rsid w:val="38506218"/>
    <w:rsid w:val="3883FA6E"/>
    <w:rsid w:val="39BF39BF"/>
    <w:rsid w:val="3AFB1E37"/>
    <w:rsid w:val="3B33724B"/>
    <w:rsid w:val="3B3921EE"/>
    <w:rsid w:val="3B65A767"/>
    <w:rsid w:val="3B7F0B18"/>
    <w:rsid w:val="3B8979CF"/>
    <w:rsid w:val="3BBB4A5B"/>
    <w:rsid w:val="3BF54158"/>
    <w:rsid w:val="3BFCDC08"/>
    <w:rsid w:val="3CAB0537"/>
    <w:rsid w:val="3CFA8848"/>
    <w:rsid w:val="3CFDD467"/>
    <w:rsid w:val="3D5B1FEA"/>
    <w:rsid w:val="3D9FD99D"/>
    <w:rsid w:val="3DA71625"/>
    <w:rsid w:val="3DDF8190"/>
    <w:rsid w:val="3DE75C38"/>
    <w:rsid w:val="3DF7E67D"/>
    <w:rsid w:val="3DFFF7E6"/>
    <w:rsid w:val="3E5385FB"/>
    <w:rsid w:val="3E8E4311"/>
    <w:rsid w:val="3E9D7D60"/>
    <w:rsid w:val="3EF7DF08"/>
    <w:rsid w:val="3F3F005B"/>
    <w:rsid w:val="3F4FE4AF"/>
    <w:rsid w:val="3F636CB5"/>
    <w:rsid w:val="3F7DD494"/>
    <w:rsid w:val="3F863D41"/>
    <w:rsid w:val="3F9E337D"/>
    <w:rsid w:val="3FAF07DD"/>
    <w:rsid w:val="3FB86062"/>
    <w:rsid w:val="3FC3458F"/>
    <w:rsid w:val="3FD04598"/>
    <w:rsid w:val="3FDB6F3F"/>
    <w:rsid w:val="3FDEE0DF"/>
    <w:rsid w:val="3FE7AFD9"/>
    <w:rsid w:val="3FEB51AC"/>
    <w:rsid w:val="3FF60E2F"/>
    <w:rsid w:val="3FF7AA32"/>
    <w:rsid w:val="3FFD0F2C"/>
    <w:rsid w:val="40BC669F"/>
    <w:rsid w:val="4104029D"/>
    <w:rsid w:val="41F067AB"/>
    <w:rsid w:val="431D1CC0"/>
    <w:rsid w:val="43BFE0A0"/>
    <w:rsid w:val="443C0366"/>
    <w:rsid w:val="44B47F70"/>
    <w:rsid w:val="466B17B2"/>
    <w:rsid w:val="4696AAD6"/>
    <w:rsid w:val="47B4CAB4"/>
    <w:rsid w:val="47C95084"/>
    <w:rsid w:val="47FEBA18"/>
    <w:rsid w:val="48854A43"/>
    <w:rsid w:val="496D279F"/>
    <w:rsid w:val="49DE2446"/>
    <w:rsid w:val="4BED12FD"/>
    <w:rsid w:val="4BF33FFE"/>
    <w:rsid w:val="4CDF1DC1"/>
    <w:rsid w:val="4D7FDDA6"/>
    <w:rsid w:val="4DBD0E67"/>
    <w:rsid w:val="4DEB4D1A"/>
    <w:rsid w:val="4DF76C1B"/>
    <w:rsid w:val="4EFB7FFE"/>
    <w:rsid w:val="4F9F1659"/>
    <w:rsid w:val="4FDFBEB6"/>
    <w:rsid w:val="4FF9C0CF"/>
    <w:rsid w:val="4FFE1228"/>
    <w:rsid w:val="4FFF2F3F"/>
    <w:rsid w:val="4FFF584A"/>
    <w:rsid w:val="50016A06"/>
    <w:rsid w:val="50C40074"/>
    <w:rsid w:val="50EE0D9F"/>
    <w:rsid w:val="51BBA1E5"/>
    <w:rsid w:val="5237B81E"/>
    <w:rsid w:val="52F61F09"/>
    <w:rsid w:val="53FFCCE8"/>
    <w:rsid w:val="540E2EDC"/>
    <w:rsid w:val="55216577"/>
    <w:rsid w:val="55FF9674"/>
    <w:rsid w:val="5712E15F"/>
    <w:rsid w:val="57BD889F"/>
    <w:rsid w:val="57CF15ED"/>
    <w:rsid w:val="589C434F"/>
    <w:rsid w:val="58D378D4"/>
    <w:rsid w:val="595419A2"/>
    <w:rsid w:val="5A0FA536"/>
    <w:rsid w:val="5A13578C"/>
    <w:rsid w:val="5A1F1135"/>
    <w:rsid w:val="5BD9BFD8"/>
    <w:rsid w:val="5BEF06A0"/>
    <w:rsid w:val="5BEF0B8A"/>
    <w:rsid w:val="5BF3AD64"/>
    <w:rsid w:val="5C051A69"/>
    <w:rsid w:val="5C4200D5"/>
    <w:rsid w:val="5CCE4C5B"/>
    <w:rsid w:val="5D3D0E0F"/>
    <w:rsid w:val="5D7E09F6"/>
    <w:rsid w:val="5D865447"/>
    <w:rsid w:val="5D9DDC50"/>
    <w:rsid w:val="5DA775E4"/>
    <w:rsid w:val="5DB01517"/>
    <w:rsid w:val="5DB784F1"/>
    <w:rsid w:val="5DE22C69"/>
    <w:rsid w:val="5DE70690"/>
    <w:rsid w:val="5DEEE70E"/>
    <w:rsid w:val="5DF4F387"/>
    <w:rsid w:val="5DFB97D6"/>
    <w:rsid w:val="5DFC7FC9"/>
    <w:rsid w:val="5E727A8F"/>
    <w:rsid w:val="5E7E0376"/>
    <w:rsid w:val="5E8F784A"/>
    <w:rsid w:val="5EC255FF"/>
    <w:rsid w:val="5EED7F85"/>
    <w:rsid w:val="5EEFE05E"/>
    <w:rsid w:val="5EF79237"/>
    <w:rsid w:val="5F2F7D31"/>
    <w:rsid w:val="5F3FD1CB"/>
    <w:rsid w:val="5F7E19B7"/>
    <w:rsid w:val="5F7F17C1"/>
    <w:rsid w:val="5F9F8131"/>
    <w:rsid w:val="5FA3FB53"/>
    <w:rsid w:val="5FB7A530"/>
    <w:rsid w:val="5FBEF295"/>
    <w:rsid w:val="5FD7DA05"/>
    <w:rsid w:val="5FDB11E6"/>
    <w:rsid w:val="5FDB8165"/>
    <w:rsid w:val="5FDD3F72"/>
    <w:rsid w:val="5FDEA7B9"/>
    <w:rsid w:val="5FE3B639"/>
    <w:rsid w:val="5FEBB684"/>
    <w:rsid w:val="5FEDBBA8"/>
    <w:rsid w:val="5FEF8CA6"/>
    <w:rsid w:val="5FF52854"/>
    <w:rsid w:val="5FF67D4E"/>
    <w:rsid w:val="5FF7806C"/>
    <w:rsid w:val="5FFA55E4"/>
    <w:rsid w:val="5FFB4052"/>
    <w:rsid w:val="5FFBA5C2"/>
    <w:rsid w:val="5FFD0D1D"/>
    <w:rsid w:val="5FFE265F"/>
    <w:rsid w:val="5FFF3FD4"/>
    <w:rsid w:val="5FFF6AB4"/>
    <w:rsid w:val="5FFF8A56"/>
    <w:rsid w:val="5FFFF59C"/>
    <w:rsid w:val="60611A62"/>
    <w:rsid w:val="62645C0C"/>
    <w:rsid w:val="632121C7"/>
    <w:rsid w:val="6341552A"/>
    <w:rsid w:val="63FEFD3B"/>
    <w:rsid w:val="64470AC7"/>
    <w:rsid w:val="64EFFD82"/>
    <w:rsid w:val="6550266A"/>
    <w:rsid w:val="656B781B"/>
    <w:rsid w:val="658716F1"/>
    <w:rsid w:val="65EBB611"/>
    <w:rsid w:val="66FF3CAB"/>
    <w:rsid w:val="679B13EB"/>
    <w:rsid w:val="67BF0A16"/>
    <w:rsid w:val="67D7E080"/>
    <w:rsid w:val="67DE03A2"/>
    <w:rsid w:val="67DE3E27"/>
    <w:rsid w:val="68241D63"/>
    <w:rsid w:val="68B322B9"/>
    <w:rsid w:val="692339CE"/>
    <w:rsid w:val="69766A05"/>
    <w:rsid w:val="6ABE1340"/>
    <w:rsid w:val="6ABF0DD2"/>
    <w:rsid w:val="6AFFC920"/>
    <w:rsid w:val="6B705F08"/>
    <w:rsid w:val="6BA54493"/>
    <w:rsid w:val="6BEF9B99"/>
    <w:rsid w:val="6BFED1E5"/>
    <w:rsid w:val="6C6E5D0E"/>
    <w:rsid w:val="6C882293"/>
    <w:rsid w:val="6CB719DD"/>
    <w:rsid w:val="6CDBA669"/>
    <w:rsid w:val="6CF9C395"/>
    <w:rsid w:val="6D1E0B73"/>
    <w:rsid w:val="6D7B18AE"/>
    <w:rsid w:val="6D99A970"/>
    <w:rsid w:val="6DEE7671"/>
    <w:rsid w:val="6E3FC9EB"/>
    <w:rsid w:val="6E5F756E"/>
    <w:rsid w:val="6E77A109"/>
    <w:rsid w:val="6E7ECD85"/>
    <w:rsid w:val="6E8BFC0C"/>
    <w:rsid w:val="6EC3384A"/>
    <w:rsid w:val="6EEE4356"/>
    <w:rsid w:val="6EEEF336"/>
    <w:rsid w:val="6EFB336A"/>
    <w:rsid w:val="6F6B18B8"/>
    <w:rsid w:val="6F6F19C3"/>
    <w:rsid w:val="6F7FA581"/>
    <w:rsid w:val="6F8B092E"/>
    <w:rsid w:val="6FA436E1"/>
    <w:rsid w:val="6FBCB669"/>
    <w:rsid w:val="6FBF6C84"/>
    <w:rsid w:val="6FBFD3E7"/>
    <w:rsid w:val="6FE73072"/>
    <w:rsid w:val="6FEE858C"/>
    <w:rsid w:val="6FEECBD4"/>
    <w:rsid w:val="6FEF189F"/>
    <w:rsid w:val="6FF79833"/>
    <w:rsid w:val="6FF7AE4B"/>
    <w:rsid w:val="6FF7ED3F"/>
    <w:rsid w:val="6FFC68D9"/>
    <w:rsid w:val="6FFED810"/>
    <w:rsid w:val="6FFF589F"/>
    <w:rsid w:val="6FFFA9C0"/>
    <w:rsid w:val="70256027"/>
    <w:rsid w:val="705E3FA3"/>
    <w:rsid w:val="71757B5C"/>
    <w:rsid w:val="71BE5A33"/>
    <w:rsid w:val="72FEB2C9"/>
    <w:rsid w:val="730A1BD8"/>
    <w:rsid w:val="736EB13F"/>
    <w:rsid w:val="736F3ADD"/>
    <w:rsid w:val="739F19CD"/>
    <w:rsid w:val="739F1ED4"/>
    <w:rsid w:val="73FF850F"/>
    <w:rsid w:val="745C07C0"/>
    <w:rsid w:val="74EFA8E2"/>
    <w:rsid w:val="75782FAA"/>
    <w:rsid w:val="75A7E9C3"/>
    <w:rsid w:val="75BBE7E2"/>
    <w:rsid w:val="75BFFA97"/>
    <w:rsid w:val="75FDD849"/>
    <w:rsid w:val="75FEC0DF"/>
    <w:rsid w:val="75FFDA2C"/>
    <w:rsid w:val="767F92DC"/>
    <w:rsid w:val="768D4F31"/>
    <w:rsid w:val="76BFF483"/>
    <w:rsid w:val="76DF1C88"/>
    <w:rsid w:val="76EBBD87"/>
    <w:rsid w:val="76FE6B8D"/>
    <w:rsid w:val="771E5A9C"/>
    <w:rsid w:val="772E421E"/>
    <w:rsid w:val="777BAE50"/>
    <w:rsid w:val="777BB462"/>
    <w:rsid w:val="777F7BC8"/>
    <w:rsid w:val="77EF0E12"/>
    <w:rsid w:val="77EF4675"/>
    <w:rsid w:val="77EF972D"/>
    <w:rsid w:val="77F198A2"/>
    <w:rsid w:val="77F74E9F"/>
    <w:rsid w:val="77FB1268"/>
    <w:rsid w:val="77FBB182"/>
    <w:rsid w:val="77FDA30A"/>
    <w:rsid w:val="77FE9764"/>
    <w:rsid w:val="77FFFC4C"/>
    <w:rsid w:val="79EF1E4F"/>
    <w:rsid w:val="79EFFE24"/>
    <w:rsid w:val="79F4481E"/>
    <w:rsid w:val="79F7C158"/>
    <w:rsid w:val="79FFF44E"/>
    <w:rsid w:val="7A679B7B"/>
    <w:rsid w:val="7AEF5B50"/>
    <w:rsid w:val="7AF803F8"/>
    <w:rsid w:val="7AFD1A4B"/>
    <w:rsid w:val="7AFF3397"/>
    <w:rsid w:val="7AFFF8F1"/>
    <w:rsid w:val="7B136D89"/>
    <w:rsid w:val="7B7538DF"/>
    <w:rsid w:val="7B799C21"/>
    <w:rsid w:val="7B7F4933"/>
    <w:rsid w:val="7B9DC6C0"/>
    <w:rsid w:val="7B9E8E5D"/>
    <w:rsid w:val="7BA1D0CA"/>
    <w:rsid w:val="7BAFFA6B"/>
    <w:rsid w:val="7BB223D0"/>
    <w:rsid w:val="7BBFEE0C"/>
    <w:rsid w:val="7BD86900"/>
    <w:rsid w:val="7BDD075A"/>
    <w:rsid w:val="7BDD2DA3"/>
    <w:rsid w:val="7BEE9350"/>
    <w:rsid w:val="7BF95F95"/>
    <w:rsid w:val="7CD4226B"/>
    <w:rsid w:val="7CEDE7D3"/>
    <w:rsid w:val="7CF6C718"/>
    <w:rsid w:val="7D273B8F"/>
    <w:rsid w:val="7D2EC2E0"/>
    <w:rsid w:val="7D5921C2"/>
    <w:rsid w:val="7D5D60B9"/>
    <w:rsid w:val="7D6F46C9"/>
    <w:rsid w:val="7D6F72B5"/>
    <w:rsid w:val="7D6F7A81"/>
    <w:rsid w:val="7D994F59"/>
    <w:rsid w:val="7DA46E65"/>
    <w:rsid w:val="7DB57278"/>
    <w:rsid w:val="7DB743FC"/>
    <w:rsid w:val="7DBF470C"/>
    <w:rsid w:val="7DBF7E0F"/>
    <w:rsid w:val="7DC13A3B"/>
    <w:rsid w:val="7DDE2280"/>
    <w:rsid w:val="7DEE437A"/>
    <w:rsid w:val="7DF3DF77"/>
    <w:rsid w:val="7DFBF06F"/>
    <w:rsid w:val="7DFD396A"/>
    <w:rsid w:val="7DFD8DDD"/>
    <w:rsid w:val="7DFDD300"/>
    <w:rsid w:val="7DFE0226"/>
    <w:rsid w:val="7DFE2D71"/>
    <w:rsid w:val="7DFEEC72"/>
    <w:rsid w:val="7DFF5076"/>
    <w:rsid w:val="7DFF51A0"/>
    <w:rsid w:val="7DFF67E8"/>
    <w:rsid w:val="7E1D8573"/>
    <w:rsid w:val="7E56D8A0"/>
    <w:rsid w:val="7E640341"/>
    <w:rsid w:val="7E7B9D2D"/>
    <w:rsid w:val="7E7F0622"/>
    <w:rsid w:val="7E7FE402"/>
    <w:rsid w:val="7E845E09"/>
    <w:rsid w:val="7E9BF6E6"/>
    <w:rsid w:val="7EDD5EAA"/>
    <w:rsid w:val="7EDFA15D"/>
    <w:rsid w:val="7EE98489"/>
    <w:rsid w:val="7EED002F"/>
    <w:rsid w:val="7EEF8AB7"/>
    <w:rsid w:val="7EEFBB92"/>
    <w:rsid w:val="7EF52E07"/>
    <w:rsid w:val="7EF71FF9"/>
    <w:rsid w:val="7EFDD307"/>
    <w:rsid w:val="7EFE02CD"/>
    <w:rsid w:val="7EFEB530"/>
    <w:rsid w:val="7EFF64A5"/>
    <w:rsid w:val="7EFFE768"/>
    <w:rsid w:val="7F1A7618"/>
    <w:rsid w:val="7F3EF8D1"/>
    <w:rsid w:val="7F47689C"/>
    <w:rsid w:val="7F4D5536"/>
    <w:rsid w:val="7F65D8B5"/>
    <w:rsid w:val="7F692707"/>
    <w:rsid w:val="7F6E165C"/>
    <w:rsid w:val="7F6F8D5F"/>
    <w:rsid w:val="7F7B36A8"/>
    <w:rsid w:val="7F7B64FC"/>
    <w:rsid w:val="7F7C4C51"/>
    <w:rsid w:val="7F7E8511"/>
    <w:rsid w:val="7F7F4466"/>
    <w:rsid w:val="7F7FDDAE"/>
    <w:rsid w:val="7FB54F03"/>
    <w:rsid w:val="7FB7B31F"/>
    <w:rsid w:val="7FBDFADC"/>
    <w:rsid w:val="7FBE8294"/>
    <w:rsid w:val="7FBF6162"/>
    <w:rsid w:val="7FBF74E0"/>
    <w:rsid w:val="7FBFAC63"/>
    <w:rsid w:val="7FBFE3C7"/>
    <w:rsid w:val="7FCF0FF8"/>
    <w:rsid w:val="7FCF89B1"/>
    <w:rsid w:val="7FCFDFBE"/>
    <w:rsid w:val="7FDAB683"/>
    <w:rsid w:val="7FDEE8DD"/>
    <w:rsid w:val="7FDFCDE5"/>
    <w:rsid w:val="7FE1B56A"/>
    <w:rsid w:val="7FEA0693"/>
    <w:rsid w:val="7FEB24ED"/>
    <w:rsid w:val="7FEE3B31"/>
    <w:rsid w:val="7FF12F50"/>
    <w:rsid w:val="7FF20417"/>
    <w:rsid w:val="7FF3006C"/>
    <w:rsid w:val="7FF708F9"/>
    <w:rsid w:val="7FF768AC"/>
    <w:rsid w:val="7FFA638D"/>
    <w:rsid w:val="7FFB7C6A"/>
    <w:rsid w:val="7FFB9644"/>
    <w:rsid w:val="7FFB9E5B"/>
    <w:rsid w:val="7FFD1BAF"/>
    <w:rsid w:val="7FFD6293"/>
    <w:rsid w:val="7FFDCA86"/>
    <w:rsid w:val="7FFDD85E"/>
    <w:rsid w:val="7FFECEC7"/>
    <w:rsid w:val="7FFEE112"/>
    <w:rsid w:val="7FFF4D3B"/>
    <w:rsid w:val="7FFFBE70"/>
    <w:rsid w:val="7FFFCB58"/>
    <w:rsid w:val="7FFFF63D"/>
    <w:rsid w:val="86EBA53A"/>
    <w:rsid w:val="87FB1DA6"/>
    <w:rsid w:val="880EB6AE"/>
    <w:rsid w:val="8AEBC3F2"/>
    <w:rsid w:val="8BFDD58A"/>
    <w:rsid w:val="8FD7FD87"/>
    <w:rsid w:val="8FF765F5"/>
    <w:rsid w:val="8FFF28FD"/>
    <w:rsid w:val="91BB1A1D"/>
    <w:rsid w:val="96EFFF10"/>
    <w:rsid w:val="96FFE695"/>
    <w:rsid w:val="99FEF2ED"/>
    <w:rsid w:val="9A7BB496"/>
    <w:rsid w:val="9B5F6E70"/>
    <w:rsid w:val="9BBBF0B9"/>
    <w:rsid w:val="9BCF1DA8"/>
    <w:rsid w:val="9DB7C1EF"/>
    <w:rsid w:val="9DEF786C"/>
    <w:rsid w:val="9EB5C182"/>
    <w:rsid w:val="9EBFD574"/>
    <w:rsid w:val="9EF53BE5"/>
    <w:rsid w:val="9F1FA31D"/>
    <w:rsid w:val="9F2690AA"/>
    <w:rsid w:val="9FD32242"/>
    <w:rsid w:val="9FE1CEAF"/>
    <w:rsid w:val="9FE96C91"/>
    <w:rsid w:val="9FF87038"/>
    <w:rsid w:val="9FFF688C"/>
    <w:rsid w:val="A3EF6C78"/>
    <w:rsid w:val="A3FFE08F"/>
    <w:rsid w:val="A7568B6A"/>
    <w:rsid w:val="AA7F8133"/>
    <w:rsid w:val="ABDD916F"/>
    <w:rsid w:val="ABFDA315"/>
    <w:rsid w:val="AC1F1BAB"/>
    <w:rsid w:val="ADCDFF92"/>
    <w:rsid w:val="ADEE2750"/>
    <w:rsid w:val="ADFE5331"/>
    <w:rsid w:val="AEBD055C"/>
    <w:rsid w:val="AEF721B7"/>
    <w:rsid w:val="AF6B1E60"/>
    <w:rsid w:val="AFBDA5CB"/>
    <w:rsid w:val="AFCF2915"/>
    <w:rsid w:val="AFEF9F35"/>
    <w:rsid w:val="AFFBA51E"/>
    <w:rsid w:val="AFFBFFC7"/>
    <w:rsid w:val="AFFEC760"/>
    <w:rsid w:val="AFFFCD49"/>
    <w:rsid w:val="B2BDFEC2"/>
    <w:rsid w:val="B3DFA18F"/>
    <w:rsid w:val="B3F307F5"/>
    <w:rsid w:val="B3FF9340"/>
    <w:rsid w:val="B4FF6B34"/>
    <w:rsid w:val="B4FFBD29"/>
    <w:rsid w:val="B556B0B8"/>
    <w:rsid w:val="B5F6ECAA"/>
    <w:rsid w:val="B5FF4110"/>
    <w:rsid w:val="B6776D54"/>
    <w:rsid w:val="B6FD446A"/>
    <w:rsid w:val="B76D8AC5"/>
    <w:rsid w:val="B7936365"/>
    <w:rsid w:val="B7D6AFFF"/>
    <w:rsid w:val="B7F77FF6"/>
    <w:rsid w:val="B7FB37E4"/>
    <w:rsid w:val="B87646CC"/>
    <w:rsid w:val="B878C1F2"/>
    <w:rsid w:val="B8BB354F"/>
    <w:rsid w:val="B8FF2B06"/>
    <w:rsid w:val="B99F3906"/>
    <w:rsid w:val="B9FE8ADC"/>
    <w:rsid w:val="BAF51905"/>
    <w:rsid w:val="BB7D8CB6"/>
    <w:rsid w:val="BBB4634E"/>
    <w:rsid w:val="BBD7A11C"/>
    <w:rsid w:val="BBDFEE3D"/>
    <w:rsid w:val="BBE73C52"/>
    <w:rsid w:val="BBF94C01"/>
    <w:rsid w:val="BBFFCAF2"/>
    <w:rsid w:val="BCA24C35"/>
    <w:rsid w:val="BCE7BEB3"/>
    <w:rsid w:val="BCF1A648"/>
    <w:rsid w:val="BDBE2178"/>
    <w:rsid w:val="BDDFEB9A"/>
    <w:rsid w:val="BDF9024D"/>
    <w:rsid w:val="BDFF98F4"/>
    <w:rsid w:val="BEB77FEA"/>
    <w:rsid w:val="BED76CE1"/>
    <w:rsid w:val="BEE4E39E"/>
    <w:rsid w:val="BEE6E4CA"/>
    <w:rsid w:val="BEEE5850"/>
    <w:rsid w:val="BF73776A"/>
    <w:rsid w:val="BF738531"/>
    <w:rsid w:val="BF7D7CD4"/>
    <w:rsid w:val="BF7EA67C"/>
    <w:rsid w:val="BF7F8897"/>
    <w:rsid w:val="BF8AAD1F"/>
    <w:rsid w:val="BFB87B1C"/>
    <w:rsid w:val="BFBF14BB"/>
    <w:rsid w:val="BFBF5F17"/>
    <w:rsid w:val="BFBFD902"/>
    <w:rsid w:val="BFE7039C"/>
    <w:rsid w:val="BFE7A90C"/>
    <w:rsid w:val="BFED7C7D"/>
    <w:rsid w:val="BFF34CE1"/>
    <w:rsid w:val="BFF37EB8"/>
    <w:rsid w:val="BFF7752A"/>
    <w:rsid w:val="BFFAD445"/>
    <w:rsid w:val="BFFD5682"/>
    <w:rsid w:val="BFFECEDA"/>
    <w:rsid w:val="C35FE6B5"/>
    <w:rsid w:val="C4FC3E7B"/>
    <w:rsid w:val="C776A3E5"/>
    <w:rsid w:val="C77B1F9A"/>
    <w:rsid w:val="C7BC4A37"/>
    <w:rsid w:val="CB3B3BBD"/>
    <w:rsid w:val="CB77B6A2"/>
    <w:rsid w:val="CBFFA2BD"/>
    <w:rsid w:val="CC794D62"/>
    <w:rsid w:val="CC79DB93"/>
    <w:rsid w:val="CE181291"/>
    <w:rsid w:val="CE67D82D"/>
    <w:rsid w:val="CE77F345"/>
    <w:rsid w:val="CEEAA2C1"/>
    <w:rsid w:val="CF9F93E3"/>
    <w:rsid w:val="CFDF9CC2"/>
    <w:rsid w:val="CFEE3119"/>
    <w:rsid w:val="CFEF5E91"/>
    <w:rsid w:val="CFEFBDD8"/>
    <w:rsid w:val="CFEFCF5E"/>
    <w:rsid w:val="CFFB9B47"/>
    <w:rsid w:val="D37F6FA8"/>
    <w:rsid w:val="D3BF5061"/>
    <w:rsid w:val="D3FF1FC3"/>
    <w:rsid w:val="D3FFF204"/>
    <w:rsid w:val="D53BD36C"/>
    <w:rsid w:val="D5E7D4CC"/>
    <w:rsid w:val="D5FFE8EB"/>
    <w:rsid w:val="D6B5CC2B"/>
    <w:rsid w:val="D6EDFAB8"/>
    <w:rsid w:val="D6F3356D"/>
    <w:rsid w:val="D6F9FDDD"/>
    <w:rsid w:val="D7DFD442"/>
    <w:rsid w:val="D7FAA6F2"/>
    <w:rsid w:val="D7FB088E"/>
    <w:rsid w:val="D7FFA822"/>
    <w:rsid w:val="D7FFD9DC"/>
    <w:rsid w:val="D913E746"/>
    <w:rsid w:val="D9CD2EB4"/>
    <w:rsid w:val="D9EB249D"/>
    <w:rsid w:val="DB673B75"/>
    <w:rsid w:val="DB6FDA8E"/>
    <w:rsid w:val="DBB178A5"/>
    <w:rsid w:val="DBE5E3CD"/>
    <w:rsid w:val="DBE6E22E"/>
    <w:rsid w:val="DBFFBE75"/>
    <w:rsid w:val="DCBBEB74"/>
    <w:rsid w:val="DCDCB69C"/>
    <w:rsid w:val="DCEFA8BB"/>
    <w:rsid w:val="DD1D795F"/>
    <w:rsid w:val="DD3E01EB"/>
    <w:rsid w:val="DDBFB922"/>
    <w:rsid w:val="DDF54FC7"/>
    <w:rsid w:val="DDF5A623"/>
    <w:rsid w:val="DDF7F726"/>
    <w:rsid w:val="DE72D372"/>
    <w:rsid w:val="DE9A4CCE"/>
    <w:rsid w:val="DEAFD889"/>
    <w:rsid w:val="DED3A8B0"/>
    <w:rsid w:val="DEDBAEEB"/>
    <w:rsid w:val="DEEF8659"/>
    <w:rsid w:val="DEF3AACF"/>
    <w:rsid w:val="DF2E24DF"/>
    <w:rsid w:val="DF4E37DD"/>
    <w:rsid w:val="DF6DC8BF"/>
    <w:rsid w:val="DF766F7F"/>
    <w:rsid w:val="DF77D096"/>
    <w:rsid w:val="DFCADD3F"/>
    <w:rsid w:val="DFDA9522"/>
    <w:rsid w:val="DFED2505"/>
    <w:rsid w:val="DFEE5131"/>
    <w:rsid w:val="DFEF439A"/>
    <w:rsid w:val="DFF5D9C7"/>
    <w:rsid w:val="DFFC9F8B"/>
    <w:rsid w:val="DFFEB12D"/>
    <w:rsid w:val="DFFFF191"/>
    <w:rsid w:val="E2F08545"/>
    <w:rsid w:val="E33C7494"/>
    <w:rsid w:val="E3BFD7BB"/>
    <w:rsid w:val="E5963112"/>
    <w:rsid w:val="E59DCEF0"/>
    <w:rsid w:val="E5F33CBA"/>
    <w:rsid w:val="E67B062E"/>
    <w:rsid w:val="E67B7B41"/>
    <w:rsid w:val="E69F53E3"/>
    <w:rsid w:val="E6F70C80"/>
    <w:rsid w:val="E6FD65CF"/>
    <w:rsid w:val="E7730CBC"/>
    <w:rsid w:val="E7753C13"/>
    <w:rsid w:val="E7B5149E"/>
    <w:rsid w:val="E7FEA855"/>
    <w:rsid w:val="E7FFA0E0"/>
    <w:rsid w:val="E8F4C94D"/>
    <w:rsid w:val="E99FA73E"/>
    <w:rsid w:val="E9CEB7F0"/>
    <w:rsid w:val="E9FBD0D0"/>
    <w:rsid w:val="EB5E318E"/>
    <w:rsid w:val="EB7F76F6"/>
    <w:rsid w:val="EB7FD69E"/>
    <w:rsid w:val="EB86A498"/>
    <w:rsid w:val="EBB72C40"/>
    <w:rsid w:val="EBF771D2"/>
    <w:rsid w:val="ECFF3434"/>
    <w:rsid w:val="ED49A338"/>
    <w:rsid w:val="ED5664C2"/>
    <w:rsid w:val="ED7726C5"/>
    <w:rsid w:val="ED79EE40"/>
    <w:rsid w:val="EDBF5205"/>
    <w:rsid w:val="EDF1DDDD"/>
    <w:rsid w:val="EDFB566B"/>
    <w:rsid w:val="EDFBAF14"/>
    <w:rsid w:val="EDFD69FE"/>
    <w:rsid w:val="EDFD9C73"/>
    <w:rsid w:val="EE57885C"/>
    <w:rsid w:val="EE5EE9A1"/>
    <w:rsid w:val="EECEC542"/>
    <w:rsid w:val="EEDD7438"/>
    <w:rsid w:val="EEFB3131"/>
    <w:rsid w:val="EEFDD16F"/>
    <w:rsid w:val="EEFE463F"/>
    <w:rsid w:val="EF1F40D3"/>
    <w:rsid w:val="EF77C8E0"/>
    <w:rsid w:val="EF97A9EC"/>
    <w:rsid w:val="EFA53143"/>
    <w:rsid w:val="EFA783FB"/>
    <w:rsid w:val="EFBE5EC9"/>
    <w:rsid w:val="EFD65A1F"/>
    <w:rsid w:val="EFDDEDA7"/>
    <w:rsid w:val="EFF64245"/>
    <w:rsid w:val="EFFAFD49"/>
    <w:rsid w:val="EFFF91CD"/>
    <w:rsid w:val="F1EE157B"/>
    <w:rsid w:val="F33EA316"/>
    <w:rsid w:val="F35FC2B8"/>
    <w:rsid w:val="F3A33E63"/>
    <w:rsid w:val="F3AB6309"/>
    <w:rsid w:val="F3AD96E9"/>
    <w:rsid w:val="F3DFA0EE"/>
    <w:rsid w:val="F3E58FA7"/>
    <w:rsid w:val="F3E9F5A3"/>
    <w:rsid w:val="F3FB0AA6"/>
    <w:rsid w:val="F3FEF888"/>
    <w:rsid w:val="F43B0EDA"/>
    <w:rsid w:val="F49F0DF6"/>
    <w:rsid w:val="F4EB41FD"/>
    <w:rsid w:val="F4EF09AD"/>
    <w:rsid w:val="F5AE5EEB"/>
    <w:rsid w:val="F5BFC891"/>
    <w:rsid w:val="F5CBCC96"/>
    <w:rsid w:val="F5F3C04F"/>
    <w:rsid w:val="F5FF4FF0"/>
    <w:rsid w:val="F6573BD5"/>
    <w:rsid w:val="F69B5C3D"/>
    <w:rsid w:val="F6B3B750"/>
    <w:rsid w:val="F6EB774E"/>
    <w:rsid w:val="F6EC5F14"/>
    <w:rsid w:val="F6ED1D18"/>
    <w:rsid w:val="F6F7031E"/>
    <w:rsid w:val="F6FDC238"/>
    <w:rsid w:val="F6FFDC75"/>
    <w:rsid w:val="F7750CB7"/>
    <w:rsid w:val="F77FA9B1"/>
    <w:rsid w:val="F7891C1A"/>
    <w:rsid w:val="F7BF2145"/>
    <w:rsid w:val="F7BF52CF"/>
    <w:rsid w:val="F7CF4530"/>
    <w:rsid w:val="F7D973CD"/>
    <w:rsid w:val="F7DCE5E6"/>
    <w:rsid w:val="F7EBEE83"/>
    <w:rsid w:val="F7EF48FF"/>
    <w:rsid w:val="F7F10CE7"/>
    <w:rsid w:val="F7FE9524"/>
    <w:rsid w:val="F7FF390A"/>
    <w:rsid w:val="F8E5978F"/>
    <w:rsid w:val="F8E7119E"/>
    <w:rsid w:val="F8FEAFB6"/>
    <w:rsid w:val="F96F1F73"/>
    <w:rsid w:val="F9BFB193"/>
    <w:rsid w:val="F9CB7B76"/>
    <w:rsid w:val="F9DF79E3"/>
    <w:rsid w:val="F9E20E50"/>
    <w:rsid w:val="F9EBEABC"/>
    <w:rsid w:val="F9F7CD9E"/>
    <w:rsid w:val="F9FD6464"/>
    <w:rsid w:val="FA50BAF3"/>
    <w:rsid w:val="FABEB7DF"/>
    <w:rsid w:val="FADB8D44"/>
    <w:rsid w:val="FAEBA2E5"/>
    <w:rsid w:val="FAF7453D"/>
    <w:rsid w:val="FAF7C340"/>
    <w:rsid w:val="FAFFBB1B"/>
    <w:rsid w:val="FB5E77EA"/>
    <w:rsid w:val="FB5F4B2F"/>
    <w:rsid w:val="FB678265"/>
    <w:rsid w:val="FB729977"/>
    <w:rsid w:val="FB733275"/>
    <w:rsid w:val="FB7E3DB3"/>
    <w:rsid w:val="FB7E9D8C"/>
    <w:rsid w:val="FB8F679B"/>
    <w:rsid w:val="FB9F99CE"/>
    <w:rsid w:val="FB9F9E19"/>
    <w:rsid w:val="FBAA5227"/>
    <w:rsid w:val="FBB20EF9"/>
    <w:rsid w:val="FBBE7BBE"/>
    <w:rsid w:val="FBCE1A10"/>
    <w:rsid w:val="FBD8C90E"/>
    <w:rsid w:val="FBDFE642"/>
    <w:rsid w:val="FBE7D801"/>
    <w:rsid w:val="FBF3669E"/>
    <w:rsid w:val="FBF79090"/>
    <w:rsid w:val="FBFA1F88"/>
    <w:rsid w:val="FBFB18EF"/>
    <w:rsid w:val="FBFB1AEB"/>
    <w:rsid w:val="FBFEAD68"/>
    <w:rsid w:val="FBFF903E"/>
    <w:rsid w:val="FBFF93AC"/>
    <w:rsid w:val="FBFFD049"/>
    <w:rsid w:val="FBFFECF3"/>
    <w:rsid w:val="FC263C55"/>
    <w:rsid w:val="FCBFD89D"/>
    <w:rsid w:val="FCC6A548"/>
    <w:rsid w:val="FCFBBCFF"/>
    <w:rsid w:val="FCFE720F"/>
    <w:rsid w:val="FCFF9696"/>
    <w:rsid w:val="FD6B8739"/>
    <w:rsid w:val="FD7F07A1"/>
    <w:rsid w:val="FD7F0E88"/>
    <w:rsid w:val="FD7FFBCD"/>
    <w:rsid w:val="FD9E89B8"/>
    <w:rsid w:val="FDB4F5E4"/>
    <w:rsid w:val="FDBA0C08"/>
    <w:rsid w:val="FDBF8FAC"/>
    <w:rsid w:val="FDBF9858"/>
    <w:rsid w:val="FDDEF47B"/>
    <w:rsid w:val="FDDF234A"/>
    <w:rsid w:val="FDDF7250"/>
    <w:rsid w:val="FDE72F3C"/>
    <w:rsid w:val="FDFA5F71"/>
    <w:rsid w:val="FDFB010C"/>
    <w:rsid w:val="FDFB7410"/>
    <w:rsid w:val="FDFF64E0"/>
    <w:rsid w:val="FDFF9058"/>
    <w:rsid w:val="FE3DB4D3"/>
    <w:rsid w:val="FE5E2928"/>
    <w:rsid w:val="FE5FC432"/>
    <w:rsid w:val="FE7ED631"/>
    <w:rsid w:val="FE7FFF1A"/>
    <w:rsid w:val="FEBF4F46"/>
    <w:rsid w:val="FEBFD8C7"/>
    <w:rsid w:val="FEDF1C3A"/>
    <w:rsid w:val="FEDFB8E7"/>
    <w:rsid w:val="FEED787A"/>
    <w:rsid w:val="FEF27004"/>
    <w:rsid w:val="FEF79D42"/>
    <w:rsid w:val="FEF7DD38"/>
    <w:rsid w:val="FEFB0E47"/>
    <w:rsid w:val="FEFE55AA"/>
    <w:rsid w:val="FEFFE2FA"/>
    <w:rsid w:val="FF0C5F92"/>
    <w:rsid w:val="FF22A28A"/>
    <w:rsid w:val="FF2CAF04"/>
    <w:rsid w:val="FF3E4BA3"/>
    <w:rsid w:val="FF3F81B9"/>
    <w:rsid w:val="FF6B2810"/>
    <w:rsid w:val="FF6D8D91"/>
    <w:rsid w:val="FF77A500"/>
    <w:rsid w:val="FF7B764B"/>
    <w:rsid w:val="FF7B9F8E"/>
    <w:rsid w:val="FF7BBA7E"/>
    <w:rsid w:val="FF7BD07A"/>
    <w:rsid w:val="FF7D6748"/>
    <w:rsid w:val="FF7DEBC0"/>
    <w:rsid w:val="FF7E089E"/>
    <w:rsid w:val="FF7E980F"/>
    <w:rsid w:val="FF7EA732"/>
    <w:rsid w:val="FF7EC06D"/>
    <w:rsid w:val="FF7F25BB"/>
    <w:rsid w:val="FF8D9AED"/>
    <w:rsid w:val="FF9EA9BE"/>
    <w:rsid w:val="FFA417BF"/>
    <w:rsid w:val="FFA6974A"/>
    <w:rsid w:val="FFAF0BD8"/>
    <w:rsid w:val="FFAF46EE"/>
    <w:rsid w:val="FFAF65EE"/>
    <w:rsid w:val="FFAFDA5F"/>
    <w:rsid w:val="FFBA935F"/>
    <w:rsid w:val="FFDACA2F"/>
    <w:rsid w:val="FFDCA3C3"/>
    <w:rsid w:val="FFDD311D"/>
    <w:rsid w:val="FFDF5F5B"/>
    <w:rsid w:val="FFDF9516"/>
    <w:rsid w:val="FFEB4D89"/>
    <w:rsid w:val="FFEE5CAB"/>
    <w:rsid w:val="FFEF9EFE"/>
    <w:rsid w:val="FFF5E8F7"/>
    <w:rsid w:val="FFF5F5F3"/>
    <w:rsid w:val="FFF6AA0E"/>
    <w:rsid w:val="FFF90C35"/>
    <w:rsid w:val="FFFA8FCC"/>
    <w:rsid w:val="FFFABBA1"/>
    <w:rsid w:val="FFFBC4A0"/>
    <w:rsid w:val="FFFD0B6B"/>
    <w:rsid w:val="FFFD3DF4"/>
    <w:rsid w:val="FFFD8F90"/>
    <w:rsid w:val="FFFD93BC"/>
    <w:rsid w:val="FFFE3C52"/>
    <w:rsid w:val="FFFE94A7"/>
    <w:rsid w:val="FFFE9DFB"/>
    <w:rsid w:val="FFFEEA2B"/>
    <w:rsid w:val="FFFF0EF4"/>
    <w:rsid w:val="FFFF2515"/>
    <w:rsid w:val="FFFF85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7">
    <w:name w:val="heading 2"/>
    <w:basedOn w:val="1"/>
    <w:next w:val="1"/>
    <w:qFormat/>
    <w:uiPriority w:val="0"/>
    <w:pPr>
      <w:spacing w:beforeAutospacing="1" w:afterAutospacing="1"/>
      <w:jc w:val="left"/>
      <w:outlineLvl w:val="1"/>
    </w:pPr>
    <w:rPr>
      <w:rFonts w:hint="eastAsia" w:ascii="宋体" w:hAnsi="宋体" w:cs="Times New Roman"/>
      <w:b/>
      <w:kern w:val="0"/>
      <w:sz w:val="36"/>
      <w:szCs w:val="36"/>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qFormat/>
    <w:uiPriority w:val="0"/>
    <w:pPr>
      <w:spacing w:line="600" w:lineRule="exact"/>
      <w:ind w:firstLine="420"/>
    </w:pPr>
    <w:rPr>
      <w:rFonts w:ascii="Times New Roman" w:hAnsi="Times New Roman" w:eastAsia="宋体" w:cs="Times New Roman"/>
      <w:bCs/>
      <w:sz w:val="30"/>
    </w:rPr>
  </w:style>
  <w:style w:type="paragraph" w:styleId="3">
    <w:name w:val="Body Text"/>
    <w:basedOn w:val="1"/>
    <w:next w:val="1"/>
    <w:qFormat/>
    <w:uiPriority w:val="0"/>
    <w:pPr>
      <w:spacing w:line="240" w:lineRule="atLeast"/>
    </w:pPr>
    <w:rPr>
      <w:rFonts w:ascii="仿宋_GB2312" w:eastAsia="仿宋_GB2312"/>
      <w:sz w:val="32"/>
    </w:rPr>
  </w:style>
  <w:style w:type="paragraph" w:styleId="4">
    <w:name w:val="Body Text First Indent 2"/>
    <w:basedOn w:val="5"/>
    <w:next w:val="1"/>
    <w:qFormat/>
    <w:uiPriority w:val="0"/>
    <w:pPr>
      <w:ind w:firstLine="420" w:firstLineChars="200"/>
    </w:pPr>
    <w:rPr>
      <w:rFonts w:ascii="Times New Roman" w:hAnsi="Times New Roman"/>
    </w:rPr>
  </w:style>
  <w:style w:type="paragraph" w:styleId="5">
    <w:name w:val="Body Text Indent"/>
    <w:basedOn w:val="1"/>
    <w:next w:val="6"/>
    <w:qFormat/>
    <w:uiPriority w:val="0"/>
    <w:pPr>
      <w:ind w:firstLine="560"/>
    </w:pPr>
    <w:rPr>
      <w:rFonts w:ascii="宋体" w:hAnsi="宋体" w:eastAsia="宋体" w:cs="Times New Roman"/>
      <w:bCs/>
      <w:kern w:val="11"/>
    </w:rPr>
  </w:style>
  <w:style w:type="paragraph" w:styleId="6">
    <w:name w:val="Body Text Indent 2"/>
    <w:basedOn w:val="1"/>
    <w:next w:val="1"/>
    <w:qFormat/>
    <w:uiPriority w:val="0"/>
    <w:pPr>
      <w:spacing w:line="474" w:lineRule="exact"/>
      <w:ind w:firstLine="645"/>
    </w:pPr>
    <w:rPr>
      <w:rFonts w:ascii="Calibri" w:hAnsi="Calibri" w:eastAsia="宋体" w:cs="Times New Roman"/>
      <w:spacing w:val="10"/>
      <w:sz w:val="28"/>
    </w:rPr>
  </w:style>
  <w:style w:type="paragraph" w:styleId="8">
    <w:name w:val="Balloon Text"/>
    <w:basedOn w:val="1"/>
    <w:link w:val="41"/>
    <w:qFormat/>
    <w:uiPriority w:val="0"/>
    <w:rPr>
      <w:sz w:val="18"/>
      <w:szCs w:val="18"/>
    </w:rPr>
  </w:style>
  <w:style w:type="paragraph" w:styleId="9">
    <w:name w:val="footer"/>
    <w:basedOn w:val="1"/>
    <w:qFormat/>
    <w:uiPriority w:val="0"/>
    <w:pPr>
      <w:tabs>
        <w:tab w:val="center" w:pos="4153"/>
        <w:tab w:val="right" w:pos="8305"/>
      </w:tabs>
      <w:jc w:val="left"/>
    </w:pPr>
    <w:rPr>
      <w:kern w:val="1"/>
      <w:sz w:val="18"/>
      <w:szCs w:val="18"/>
    </w:rPr>
  </w:style>
  <w:style w:type="paragraph" w:styleId="10">
    <w:name w:val="header"/>
    <w:basedOn w:val="1"/>
    <w:link w:val="40"/>
    <w:qFormat/>
    <w:uiPriority w:val="0"/>
    <w:pPr>
      <w:pBdr>
        <w:bottom w:val="single" w:color="auto" w:sz="6" w:space="1"/>
      </w:pBdr>
      <w:tabs>
        <w:tab w:val="center" w:pos="4153"/>
        <w:tab w:val="right" w:pos="8306"/>
      </w:tabs>
      <w:snapToGrid w:val="0"/>
      <w:jc w:val="center"/>
    </w:pPr>
    <w:rPr>
      <w:sz w:val="18"/>
      <w:szCs w:val="18"/>
    </w:r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cs="Times New Roman"/>
      <w:kern w:val="0"/>
      <w:sz w:val="24"/>
    </w:rPr>
  </w:style>
  <w:style w:type="paragraph" w:styleId="12">
    <w:name w:val="Normal (Web)"/>
    <w:basedOn w:val="1"/>
    <w:qFormat/>
    <w:uiPriority w:val="0"/>
    <w:pPr>
      <w:spacing w:before="0" w:beforeAutospacing="1" w:after="0" w:afterAutospacing="1"/>
      <w:ind w:left="0" w:right="0"/>
      <w:jc w:val="left"/>
    </w:pPr>
    <w:rPr>
      <w:kern w:val="0"/>
      <w:sz w:val="24"/>
      <w:lang w:val="en-US" w:eastAsia="zh-CN" w:bidi="ar"/>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b/>
    </w:rPr>
  </w:style>
  <w:style w:type="character" w:styleId="17">
    <w:name w:val="FollowedHyperlink"/>
    <w:qFormat/>
    <w:uiPriority w:val="0"/>
    <w:rPr>
      <w:rFonts w:hint="eastAsia" w:ascii="微软雅黑" w:hAnsi="微软雅黑" w:eastAsia="微软雅黑" w:cs="微软雅黑"/>
      <w:color w:val="666666"/>
      <w:sz w:val="21"/>
      <w:szCs w:val="21"/>
      <w:u w:val="single"/>
    </w:rPr>
  </w:style>
  <w:style w:type="character" w:styleId="18">
    <w:name w:val="Hyperlink"/>
    <w:qFormat/>
    <w:uiPriority w:val="0"/>
    <w:rPr>
      <w:rFonts w:ascii="微软雅黑" w:hAnsi="微软雅黑" w:eastAsia="微软雅黑" w:cs="微软雅黑"/>
      <w:color w:val="666666"/>
      <w:sz w:val="21"/>
      <w:szCs w:val="21"/>
      <w:u w:val="single"/>
    </w:rPr>
  </w:style>
  <w:style w:type="paragraph" w:customStyle="1" w:styleId="19">
    <w:name w:val="Body Text First Indent1"/>
    <w:basedOn w:val="3"/>
    <w:next w:val="20"/>
    <w:qFormat/>
    <w:uiPriority w:val="0"/>
    <w:pPr>
      <w:spacing w:line="600" w:lineRule="exact"/>
      <w:ind w:firstLine="420"/>
    </w:pPr>
    <w:rPr>
      <w:rFonts w:ascii="Times New Roman" w:hAnsi="Times New Roman" w:eastAsia="宋体" w:cs="Times New Roman"/>
      <w:bCs/>
      <w:sz w:val="30"/>
    </w:rPr>
  </w:style>
  <w:style w:type="paragraph" w:customStyle="1" w:styleId="20">
    <w:name w:val="Body Text First Indent 21"/>
    <w:basedOn w:val="21"/>
    <w:next w:val="1"/>
    <w:qFormat/>
    <w:uiPriority w:val="0"/>
    <w:pPr>
      <w:ind w:firstLine="420" w:firstLineChars="200"/>
    </w:pPr>
    <w:rPr>
      <w:rFonts w:ascii="Times New Roman" w:hAnsi="Times New Roman"/>
    </w:rPr>
  </w:style>
  <w:style w:type="paragraph" w:customStyle="1" w:styleId="21">
    <w:name w:val="Body Text Indent1"/>
    <w:basedOn w:val="1"/>
    <w:next w:val="22"/>
    <w:qFormat/>
    <w:uiPriority w:val="0"/>
    <w:pPr>
      <w:ind w:firstLine="560"/>
    </w:pPr>
    <w:rPr>
      <w:rFonts w:ascii="宋体" w:hAnsi="宋体" w:eastAsia="宋体" w:cs="Times New Roman"/>
      <w:bCs/>
      <w:kern w:val="11"/>
    </w:rPr>
  </w:style>
  <w:style w:type="paragraph" w:customStyle="1" w:styleId="22">
    <w:name w:val="Body Text Indent 21"/>
    <w:basedOn w:val="1"/>
    <w:next w:val="1"/>
    <w:qFormat/>
    <w:uiPriority w:val="0"/>
    <w:pPr>
      <w:spacing w:line="474" w:lineRule="exact"/>
      <w:ind w:firstLine="645"/>
    </w:pPr>
    <w:rPr>
      <w:rFonts w:ascii="Calibri" w:hAnsi="Calibri" w:eastAsia="宋体" w:cs="Times New Roman"/>
      <w:spacing w:val="10"/>
      <w:sz w:val="28"/>
    </w:rPr>
  </w:style>
  <w:style w:type="paragraph" w:customStyle="1" w:styleId="23">
    <w:name w:val="批注框文本1"/>
    <w:basedOn w:val="1"/>
    <w:link w:val="24"/>
    <w:qFormat/>
    <w:uiPriority w:val="0"/>
    <w:rPr>
      <w:sz w:val="18"/>
      <w:szCs w:val="18"/>
    </w:rPr>
  </w:style>
  <w:style w:type="character" w:customStyle="1" w:styleId="24">
    <w:name w:val="批注框文本 Char"/>
    <w:link w:val="23"/>
    <w:semiHidden/>
    <w:qFormat/>
    <w:uiPriority w:val="0"/>
    <w:rPr>
      <w:rFonts w:ascii="Calibri" w:hAnsi="Calibri" w:eastAsia="宋体" w:cs="黑体"/>
      <w:kern w:val="2"/>
      <w:sz w:val="18"/>
      <w:szCs w:val="18"/>
    </w:rPr>
  </w:style>
  <w:style w:type="paragraph" w:customStyle="1" w:styleId="25">
    <w:name w:val="纯文本1"/>
    <w:basedOn w:val="1"/>
    <w:qFormat/>
    <w:uiPriority w:val="0"/>
    <w:pPr>
      <w:spacing w:before="100" w:beforeAutospacing="1" w:after="100" w:afterAutospacing="1"/>
    </w:pPr>
    <w:rPr>
      <w:rFonts w:ascii="宋体" w:hAnsi="宋体" w:cs="宋体"/>
      <w:sz w:val="24"/>
    </w:rPr>
  </w:style>
  <w:style w:type="paragraph" w:customStyle="1" w:styleId="26">
    <w:name w:val="普通(网站)1"/>
    <w:basedOn w:val="1"/>
    <w:qFormat/>
    <w:uiPriority w:val="0"/>
    <w:pPr>
      <w:spacing w:beforeAutospacing="1" w:afterAutospacing="1"/>
      <w:jc w:val="left"/>
    </w:pPr>
    <w:rPr>
      <w:rFonts w:cs="Times New Roman"/>
      <w:kern w:val="0"/>
      <w:sz w:val="24"/>
    </w:rPr>
  </w:style>
  <w:style w:type="paragraph" w:customStyle="1" w:styleId="27">
    <w:name w:val="正文首行缩进1"/>
    <w:basedOn w:val="3"/>
    <w:next w:val="25"/>
    <w:qFormat/>
    <w:uiPriority w:val="0"/>
    <w:pPr>
      <w:ind w:firstLine="420" w:firstLineChars="100"/>
    </w:pPr>
    <w:rPr>
      <w:rFonts w:ascii="Times New Roman" w:hAnsi="Times New Roman" w:cs="Times New Roman"/>
    </w:rPr>
  </w:style>
  <w:style w:type="character" w:customStyle="1" w:styleId="28">
    <w:name w:val="HTML 定义1"/>
    <w:qFormat/>
    <w:uiPriority w:val="0"/>
    <w:rPr>
      <w:i/>
    </w:rPr>
  </w:style>
  <w:style w:type="character" w:customStyle="1" w:styleId="29">
    <w:name w:val="HTML 代码1"/>
    <w:qFormat/>
    <w:uiPriority w:val="0"/>
    <w:rPr>
      <w:rFonts w:ascii="Menlo" w:hAnsi="Menlo" w:eastAsia="Menlo" w:cs="Menlo"/>
      <w:color w:val="C7254E"/>
      <w:sz w:val="21"/>
      <w:szCs w:val="21"/>
      <w:shd w:val="clear" w:color="auto" w:fill="F9F2F4"/>
    </w:rPr>
  </w:style>
  <w:style w:type="character" w:customStyle="1" w:styleId="30">
    <w:name w:val="HTML 键盘1"/>
    <w:qFormat/>
    <w:uiPriority w:val="0"/>
    <w:rPr>
      <w:rFonts w:hint="default" w:ascii="Menlo" w:hAnsi="Menlo" w:eastAsia="Menlo" w:cs="Menlo"/>
      <w:color w:val="FFFFFF"/>
      <w:sz w:val="21"/>
      <w:szCs w:val="21"/>
      <w:shd w:val="clear" w:color="auto" w:fill="333333"/>
    </w:rPr>
  </w:style>
  <w:style w:type="character" w:customStyle="1" w:styleId="31">
    <w:name w:val="HTML 样本1"/>
    <w:qFormat/>
    <w:uiPriority w:val="0"/>
    <w:rPr>
      <w:rFonts w:hint="default" w:ascii="Menlo" w:hAnsi="Menlo" w:eastAsia="Menlo" w:cs="Menlo"/>
      <w:sz w:val="21"/>
      <w:szCs w:val="21"/>
    </w:rPr>
  </w:style>
  <w:style w:type="character" w:customStyle="1" w:styleId="32">
    <w:name w:val="glyphicon2"/>
    <w:basedOn w:val="15"/>
    <w:qFormat/>
    <w:uiPriority w:val="0"/>
  </w:style>
  <w:style w:type="character" w:customStyle="1" w:styleId="33">
    <w:name w:val="hour_pm"/>
    <w:basedOn w:val="15"/>
    <w:qFormat/>
    <w:uiPriority w:val="0"/>
  </w:style>
  <w:style w:type="character" w:customStyle="1" w:styleId="34">
    <w:name w:val="disabled"/>
    <w:qFormat/>
    <w:uiPriority w:val="0"/>
    <w:rPr>
      <w:color w:val="999999"/>
    </w:rPr>
  </w:style>
  <w:style w:type="character" w:customStyle="1" w:styleId="35">
    <w:name w:val="hover6"/>
    <w:qFormat/>
    <w:uiPriority w:val="0"/>
    <w:rPr>
      <w:shd w:val="clear" w:color="auto" w:fill="EEEEEE"/>
    </w:rPr>
  </w:style>
  <w:style w:type="character" w:customStyle="1" w:styleId="36">
    <w:name w:val="old"/>
    <w:qFormat/>
    <w:uiPriority w:val="0"/>
    <w:rPr>
      <w:color w:val="999999"/>
    </w:rPr>
  </w:style>
  <w:style w:type="character" w:customStyle="1" w:styleId="37">
    <w:name w:val="active3"/>
    <w:qFormat/>
    <w:uiPriority w:val="0"/>
    <w:rPr>
      <w:color w:val="FFFFFF"/>
      <w:shd w:val="clear" w:color="auto" w:fill="006DCC"/>
    </w:rPr>
  </w:style>
  <w:style w:type="character" w:customStyle="1" w:styleId="38">
    <w:name w:val="hour_am"/>
    <w:basedOn w:val="15"/>
    <w:qFormat/>
    <w:uiPriority w:val="0"/>
  </w:style>
  <w:style w:type="character" w:customStyle="1" w:styleId="39">
    <w:name w:val="font21"/>
    <w:qFormat/>
    <w:uiPriority w:val="0"/>
    <w:rPr>
      <w:rFonts w:hint="eastAsia" w:ascii="宋体" w:hAnsi="宋体" w:eastAsia="宋体" w:cs="宋体"/>
      <w:color w:val="000000"/>
      <w:sz w:val="20"/>
      <w:szCs w:val="20"/>
      <w:u w:val="none"/>
    </w:rPr>
  </w:style>
  <w:style w:type="character" w:customStyle="1" w:styleId="40">
    <w:name w:val="页眉 Char"/>
    <w:basedOn w:val="15"/>
    <w:link w:val="10"/>
    <w:qFormat/>
    <w:uiPriority w:val="0"/>
    <w:rPr>
      <w:rFonts w:ascii="Calibri" w:hAnsi="Calibri" w:cs="黑体"/>
      <w:kern w:val="2"/>
      <w:sz w:val="18"/>
      <w:szCs w:val="18"/>
    </w:rPr>
  </w:style>
  <w:style w:type="character" w:customStyle="1" w:styleId="41">
    <w:name w:val="批注框文本 Char1"/>
    <w:basedOn w:val="15"/>
    <w:link w:val="8"/>
    <w:qFormat/>
    <w:uiPriority w:val="0"/>
    <w:rPr>
      <w:rFonts w:ascii="Calibri" w:hAnsi="Calibri" w:cs="黑体"/>
      <w:kern w:val="2"/>
      <w:sz w:val="18"/>
      <w:szCs w:val="18"/>
    </w:rPr>
  </w:style>
  <w:style w:type="character" w:customStyle="1" w:styleId="42">
    <w:name w:val="NormalCharacter"/>
    <w:semiHidden/>
    <w:qFormat/>
    <w:uiPriority w:val="0"/>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home/huanghe/&#26700;&#38754;/2019-2024&#32479;&#35745;&#20844;&#25253;/2024&#24180;&#20844;&#25253;&#22270;&#65288;&#21457;&#25171;&#21360;&#23460;&#65289;.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home/huanghe/&#26700;&#38754;/2019-2024&#32479;&#35745;&#20844;&#25253;/2024&#24180;&#20844;&#25253;&#22270;&#65288;&#21457;&#25171;&#21360;&#23460;&#6528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'[2024年公报图（发打印室）.xls]17-23指标'!$A$15</c:f>
              <c:strCache>
                <c:ptCount val="1"/>
                <c:pt idx="0">
                  <c:v>粮食总产量</c:v>
                </c:pt>
              </c:strCache>
            </c:strRef>
          </c:tx>
          <c:spPr>
            <a:solidFill>
              <a:srgbClr val="5B9BD5"/>
            </a:solidFill>
            <a:ln w="28575" cap="rnd">
              <a:noFill/>
              <a:round/>
              <a:headEnd type="oval"/>
              <a:tailEnd type="ova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1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[2024年公报图（发打印室）.xls]17-23指标'!$E$4,'[2024年公报图（发打印室）.xls]17-23指标'!$G$4,'[2024年公报图（发打印室）.xls]17-23指标'!$I$4,'[2024年公报图（发打印室）.xls]17-23指标'!$K$4,'[2024年公报图（发打印室）.xls]17-23指标'!$M$4)</c:f>
              <c:strCache>
                <c:ptCount val="5"/>
                <c:pt idx="0">
                  <c:v>2021年</c:v>
                </c:pt>
                <c:pt idx="1">
                  <c:v>2022年</c:v>
                </c:pt>
                <c:pt idx="2">
                  <c:v>2023年</c:v>
                </c:pt>
                <c:pt idx="3">
                  <c:v>2024年</c:v>
                </c:pt>
                <c:pt idx="4">
                  <c:v>2025年</c:v>
                </c:pt>
              </c:strCache>
            </c:strRef>
          </c:cat>
          <c:val>
            <c:numRef>
              <c:f>('[2024年公报图（发打印室）.xls]17-23指标'!$E$15,'[2024年公报图（发打印室）.xls]17-23指标'!$G$15,'[2024年公报图（发打印室）.xls]17-23指标'!$I$15,'[2024年公报图（发打印室）.xls]17-23指标'!$K$15,'[2024年公报图（发打印室）.xls]17-23指标'!$M$15)</c:f>
              <c:numCache>
                <c:formatCode>General</c:formatCode>
                <c:ptCount val="5"/>
                <c:pt idx="0">
                  <c:v>923.72</c:v>
                </c:pt>
                <c:pt idx="1">
                  <c:v>932.42</c:v>
                </c:pt>
                <c:pt idx="2" c:formatCode="0.00_ ">
                  <c:v>902.61</c:v>
                </c:pt>
                <c:pt idx="3" c:formatCode="0.00_ ">
                  <c:v>918.49</c:v>
                </c:pt>
                <c:pt idx="4" c:formatCode="0.00_ ">
                  <c:v>933.31</c:v>
                </c:pt>
              </c:numCache>
            </c:numRef>
          </c:val>
        </c:ser>
        <c:dLbls>
          <c:showLegendKey val="0"/>
          <c:showVal val="0"/>
          <c:showCatName val="0"/>
          <c:showSerName val="0"/>
          <c:showPercent val="0"/>
          <c:showBubbleSize val="0"/>
        </c:dLbls>
        <c:gapWidth val="58"/>
        <c:overlap val="-1"/>
        <c:axId val="615181164"/>
        <c:axId val="842993489"/>
      </c:barChart>
      <c:catAx>
        <c:axId val="615181164"/>
        <c:scaling>
          <c:orientation val="minMax"/>
        </c:scaling>
        <c:delete val="0"/>
        <c:axPos val="b"/>
        <c:majorTickMark val="none"/>
        <c:minorTickMark val="none"/>
        <c:tickLblPos val="nextTo"/>
        <c:spPr>
          <a:noFill/>
          <a:ln w="9525" cap="flat" cmpd="sng" algn="ctr">
            <a:solidFill>
              <a:sysClr val="windowText" lastClr="000000">
                <a:lumMod val="15000"/>
                <a:lumOff val="85000"/>
              </a:sysClr>
            </a:solidFill>
            <a:prstDash val="solid"/>
            <a:round/>
          </a:ln>
          <a:effectLst/>
        </c:spPr>
        <c:txPr>
          <a:bodyPr rot="-60000000" spcFirstLastPara="0" vertOverflow="ellipsis" vert="horz" wrap="square" anchor="ctr" anchorCtr="1"/>
          <a:lstStyle/>
          <a:p>
            <a:pPr>
              <a:defRPr lang="zh-CN" sz="11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842993489"/>
        <c:crosses val="autoZero"/>
        <c:auto val="1"/>
        <c:lblAlgn val="ctr"/>
        <c:lblOffset val="100"/>
        <c:noMultiLvlLbl val="0"/>
      </c:catAx>
      <c:valAx>
        <c:axId val="842993489"/>
        <c:scaling>
          <c:orientation val="minMax"/>
          <c:max val="1000"/>
          <c:min val="100"/>
        </c:scaling>
        <c:delete val="0"/>
        <c:axPos val="l"/>
        <c:numFmt formatCode="#,##0_);[Red]\(#,##0\)" sourceLinked="0"/>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1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615181164"/>
        <c:crosses val="autoZero"/>
        <c:crossBetween val="between"/>
      </c:valAx>
      <c:spPr>
        <a:noFill/>
        <a:ln>
          <a:noFill/>
        </a:ln>
        <a:effectLst/>
      </c:spPr>
    </c:plotArea>
    <c:plotVisOnly val="1"/>
    <c:dispBlanksAs val="gap"/>
    <c:showDLblsOverMax val="0"/>
  </c:chart>
  <c:spPr>
    <a:noFill/>
    <a:ln w="6350" cap="flat" cmpd="sng" algn="ctr">
      <a:noFill/>
      <a:prstDash val="solid"/>
      <a:round/>
    </a:ln>
  </c:spPr>
  <c:txPr>
    <a:bodyPr wrap="square"/>
    <a:lstStyle/>
    <a:p>
      <a:pPr>
        <a:defRPr lang="zh-CN">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"居民可支配收入"</c:f>
              <c:strCache>
                <c:ptCount val="1"/>
                <c:pt idx="0">
                  <c:v>居民可支配收入</c:v>
                </c:pt>
              </c:strCache>
            </c:strRef>
          </c:tx>
          <c:spPr>
            <a:solidFill>
              <a:schemeClr val="accent1"/>
            </a:solidFill>
            <a:ln w="28575" cap="rnd">
              <a:noFill/>
              <a:round/>
              <a:headEnd type="oval"/>
              <a:tailEnd type="oval"/>
            </a:ln>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1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[2024年公报图（发打印室）.xls]17-23指标'!$E$4,'[2024年公报图（发打印室）.xls]17-23指标'!$G$4,'[2024年公报图（发打印室）.xls]17-23指标'!$I$4,'[2024年公报图（发打印室）.xls]17-23指标'!$K$4,'[2024年公报图（发打印室）.xls]17-23指标'!$M$4)</c:f>
              <c:strCache>
                <c:ptCount val="5"/>
                <c:pt idx="0">
                  <c:v>2021年</c:v>
                </c:pt>
                <c:pt idx="1">
                  <c:v>2022年</c:v>
                </c:pt>
                <c:pt idx="2">
                  <c:v>2023年</c:v>
                </c:pt>
                <c:pt idx="3">
                  <c:v>2024年</c:v>
                </c:pt>
                <c:pt idx="4">
                  <c:v>2025年</c:v>
                </c:pt>
              </c:strCache>
            </c:strRef>
          </c:cat>
          <c:val>
            <c:numRef>
              <c:f>('[2024年公报图（发打印室）.xls]17-23指标'!$E$25,'[2024年公报图（发打印室）.xls]17-23指标'!$G$25,'[2024年公报图（发打印室）.xls]17-23指标'!$I$25,'[2024年公报图（发打印室）.xls]17-23指标'!$K$25,'[2024年公报图（发打印室）.xls]17-23指标'!$M$25)</c:f>
              <c:numCache>
                <c:formatCode>General</c:formatCode>
                <c:ptCount val="5"/>
                <c:pt idx="0">
                  <c:v>20773</c:v>
                </c:pt>
                <c:pt idx="1">
                  <c:v>21983</c:v>
                </c:pt>
                <c:pt idx="2">
                  <c:v>23102</c:v>
                </c:pt>
                <c:pt idx="3">
                  <c:v>24515</c:v>
                </c:pt>
                <c:pt idx="4">
                  <c:v>25844</c:v>
                </c:pt>
              </c:numCache>
            </c:numRef>
          </c:val>
        </c:ser>
        <c:dLbls>
          <c:showLegendKey val="0"/>
          <c:showVal val="0"/>
          <c:showCatName val="0"/>
          <c:showSerName val="0"/>
          <c:showPercent val="0"/>
          <c:showBubbleSize val="0"/>
        </c:dLbls>
        <c:gapWidth val="58"/>
        <c:overlap val="-1"/>
        <c:axId val="16336851"/>
        <c:axId val="595208947"/>
      </c:barChart>
      <c:lineChart>
        <c:grouping val="standard"/>
        <c:varyColors val="0"/>
        <c:ser>
          <c:idx val="1"/>
          <c:order val="1"/>
          <c:tx>
            <c:strRef>
              <c:f>"增速"</c:f>
              <c:strCache>
                <c:ptCount val="1"/>
                <c:pt idx="0">
                  <c:v>增速</c:v>
                </c:pt>
              </c:strCache>
            </c:strRef>
          </c:tx>
          <c:spPr>
            <a:ln w="28575" cap="rnd" cmpd="sng" algn="ctr">
              <a:solidFill>
                <a:srgbClr val="FF0000"/>
              </a:solidFill>
              <a:prstDash val="solid"/>
              <a:round/>
              <a:headEnd type="oval"/>
              <a:tailEnd type="oval"/>
            </a:ln>
            <a:effectLst/>
          </c:spPr>
          <c:marker>
            <c:symbol val="none"/>
          </c:marker>
          <c:dLbls>
            <c:dLbl>
              <c:idx val="0"/>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ln w="12700" cmpd="sng">
                        <a:noFill/>
                        <a:prstDash val="solid"/>
                      </a:ln>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b"/>
              <c:showLegendKey val="0"/>
              <c:showVal val="1"/>
              <c:showCatName val="0"/>
              <c:showSerName val="0"/>
              <c:showPercent val="0"/>
              <c:showBubbleSize val="0"/>
              <c:extLst>
                <c:ext xmlns:c15="http://schemas.microsoft.com/office/drawing/2012/chart" uri="{CE6537A1-D6FC-4f65-9D91-7224C49458BB}"/>
              </c:extLst>
            </c:dLbl>
            <c:dLbl>
              <c:idx val="1"/>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ln w="12700" cmpd="sng">
                        <a:noFill/>
                        <a:prstDash val="solid"/>
                      </a:ln>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b"/>
              <c:showLegendKey val="0"/>
              <c:showVal val="1"/>
              <c:showCatName val="0"/>
              <c:showSerName val="0"/>
              <c:showPercent val="0"/>
              <c:showBubbleSize val="0"/>
              <c:extLst>
                <c:ext xmlns:c15="http://schemas.microsoft.com/office/drawing/2012/chart" uri="{CE6537A1-D6FC-4f65-9D91-7224C49458BB}"/>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ln w="12700" cmpd="sng">
                        <a:noFill/>
                        <a:prstDash val="solid"/>
                      </a:ln>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b"/>
              <c:showLegendKey val="0"/>
              <c:showVal val="1"/>
              <c:showCatName val="0"/>
              <c:showSerName val="0"/>
              <c:showPercent val="0"/>
              <c:showBubbleSize val="0"/>
              <c:extLst>
                <c:ext xmlns:c15="http://schemas.microsoft.com/office/drawing/2012/chart" uri="{CE6537A1-D6FC-4f65-9D91-7224C49458BB}"/>
              </c:extLst>
            </c:dLbl>
            <c:dLbl>
              <c:idx val="4"/>
              <c:layout/>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ln w="12700" cmpd="sng">
                        <a:noFill/>
                        <a:prstDash val="solid"/>
                      </a:ln>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b"/>
              <c:showLegendKey val="0"/>
              <c:showVal val="1"/>
              <c:showCatName val="0"/>
              <c:showSerName val="0"/>
              <c:showPercent val="0"/>
              <c:showBubbleSize val="0"/>
              <c:extLst>
                <c:ext xmlns:c15="http://schemas.microsoft.com/office/drawing/2012/chart" uri="{CE6537A1-D6FC-4f65-9D91-7224C49458BB}"/>
              </c:extLst>
            </c:dLbl>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ln w="12700" cmpd="sng">
                      <a:noFill/>
                      <a:prstDash val="solid"/>
                    </a:ln>
                    <a:solidFill>
                      <a:schemeClr val="bg1"/>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dLblPos val="b"/>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[2024年公报图（发打印室）.xls]17-23指标'!$C$4,'[2024年公报图（发打印室）.xls]17-23指标'!$E$4,'[2024年公报图（发打印室）.xls]17-23指标'!$G$4,'[2024年公报图（发打印室）.xls]17-23指标'!$I$4,'[2024年公报图（发打印室）.xls]17-23指标'!$K$4)</c:f>
              <c:strCache>
                <c:ptCount val="5"/>
                <c:pt idx="0">
                  <c:v>2020年</c:v>
                </c:pt>
                <c:pt idx="1">
                  <c:v>2021年</c:v>
                </c:pt>
                <c:pt idx="2">
                  <c:v>2022年</c:v>
                </c:pt>
                <c:pt idx="3">
                  <c:v>2023年</c:v>
                </c:pt>
                <c:pt idx="4">
                  <c:v>2024年</c:v>
                </c:pt>
              </c:strCache>
            </c:strRef>
          </c:cat>
          <c:val>
            <c:numRef>
              <c:f>('[2024年公报图（发打印室）.xls]17-23指标'!$F$25,'[2024年公报图（发打印室）.xls]17-23指标'!$H$25,'[2024年公报图（发打印室）.xls]17-23指标'!$J$25,'[2024年公报图（发打印室）.xls]17-23指标'!$L$25,'[2024年公报图（发打印室）.xls]17-23指标'!$N$25)</c:f>
              <c:numCache>
                <c:formatCode>0.0_ </c:formatCode>
                <c:ptCount val="5"/>
                <c:pt idx="0">
                  <c:v>8.5</c:v>
                </c:pt>
                <c:pt idx="1">
                  <c:v>5.8</c:v>
                </c:pt>
                <c:pt idx="2">
                  <c:v>5.1</c:v>
                </c:pt>
                <c:pt idx="3">
                  <c:v>6.1</c:v>
                </c:pt>
                <c:pt idx="4">
                  <c:v>5.4</c:v>
                </c:pt>
              </c:numCache>
            </c:numRef>
          </c:val>
          <c:smooth val="0"/>
        </c:ser>
        <c:dLbls>
          <c:showLegendKey val="0"/>
          <c:showVal val="0"/>
          <c:showCatName val="0"/>
          <c:showSerName val="0"/>
          <c:showPercent val="0"/>
          <c:showBubbleSize val="0"/>
        </c:dLbls>
        <c:marker val="0"/>
        <c:smooth val="0"/>
        <c:axId val="723154188"/>
        <c:axId val="169865335"/>
      </c:lineChart>
      <c:catAx>
        <c:axId val="16336851"/>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11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595208947"/>
        <c:crosses val="autoZero"/>
        <c:auto val="1"/>
        <c:lblAlgn val="ctr"/>
        <c:lblOffset val="100"/>
        <c:noMultiLvlLbl val="0"/>
      </c:catAx>
      <c:valAx>
        <c:axId val="595208947"/>
        <c:scaling>
          <c:orientation val="minMax"/>
        </c:scaling>
        <c:delete val="0"/>
        <c:axPos val="l"/>
        <c:numFmt formatCode="#,##0_);[Red]\(#,##0\)" sourceLinked="0"/>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16336851"/>
        <c:crosses val="autoZero"/>
        <c:crossBetween val="between"/>
      </c:valAx>
      <c:catAx>
        <c:axId val="723154188"/>
        <c:scaling>
          <c:orientation val="minMax"/>
        </c:scaling>
        <c:delete val="1"/>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595959">
                    <a:alpha val="100000"/>
                  </a:srgb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169865335"/>
        <c:crosses val="autoZero"/>
        <c:auto val="1"/>
        <c:lblAlgn val="ctr"/>
        <c:lblOffset val="100"/>
        <c:noMultiLvlLbl val="0"/>
      </c:catAx>
      <c:valAx>
        <c:axId val="169865335"/>
        <c:scaling>
          <c:orientation val="minMax"/>
          <c:max val="15"/>
          <c:min val="0"/>
        </c:scaling>
        <c:delete val="0"/>
        <c:axPos val="r"/>
        <c:numFmt formatCode="0.0_ "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00" b="0" i="0" u="none" strike="noStrike" kern="1200" baseline="0">
                <a:solidFill>
                  <a:sysClr val="windowText" lastClr="000000"/>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723154188"/>
        <c:crosses val="max"/>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Entry>
      <c:layout>
        <c:manualLayout>
          <c:xMode val="edge"/>
          <c:yMode val="edge"/>
          <c:x val="0.338446989597562"/>
          <c:y val="0.902286453839517"/>
          <c:w val="0.407061048649785"/>
          <c:h val="0.071829163071613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legend>
    <c:plotVisOnly val="1"/>
    <c:dispBlanksAs val="gap"/>
    <c:showDLblsOverMax val="0"/>
  </c:chart>
  <c:spPr>
    <a:noFill/>
    <a:ln w="6350" cap="flat" cmpd="sng" algn="ctr">
      <a:noFill/>
      <a:prstDash val="solid"/>
      <a:round/>
    </a:ln>
  </c:spPr>
  <c:txPr>
    <a:bodyPr wrap="square"/>
    <a:lstStyle/>
    <a:p>
      <a:pPr>
        <a:defRPr lang="zh-CN">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13</Pages>
  <Words>6547</Words>
  <Characters>8439</Characters>
  <Lines>55</Lines>
  <Paragraphs>15</Paragraphs>
  <TotalTime>0</TotalTime>
  <ScaleCrop>false</ScaleCrop>
  <LinksUpToDate>false</LinksUpToDate>
  <CharactersWithSpaces>8599</CharactersWithSpaces>
  <Application>WPS Office_11.1.0.11720_F1E327BC-269C-435d-A152-05C5408002CA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2022-05-13T18:43:00Z</dcterms:created>
  <dc:creator>Administrator</dc:creator>
  <cp:lastModifiedBy>huanghe</cp:lastModifiedBy>
  <cp:lastPrinted>2026-04-30T02:48:00Z</cp:lastPrinted>
  <dcterms:modified xsi:type="dcterms:W3CDTF">2026-05-13T15:36:28Z</dcterms:modified>
  <dc:title>A</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2052-11.1.0.11720</vt:lpwstr>
  </property>
  <property fmtid="{D5CDD505-2E9C-101B-9397-08002B2CF9AE}" pid="3" name="ICV">
    <vt:lpwstr>F2744493D8FD44C389CD11EE095EB198</vt:lpwstr>
  </property>
</Properties>
</file>