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1050" w:lineRule="atLeast"/>
        <w:jc w:val="center"/>
        <w:rPr>
          <w:rFonts w:ascii="Times New Roman" w:hAnsi="Times New Roman" w:eastAsia="方正小标宋简体" w:cs="Times New Roman"/>
          <w:b/>
          <w:sz w:val="36"/>
          <w:szCs w:val="36"/>
        </w:rPr>
      </w:pPr>
      <w:r>
        <w:rPr>
          <w:rFonts w:ascii="Times New Roman" w:hAnsi="Times New Roman" w:eastAsia="方正小标宋简体" w:cs="Times New Roman"/>
          <w:b/>
          <w:kern w:val="0"/>
          <w:sz w:val="36"/>
          <w:szCs w:val="36"/>
        </w:rPr>
        <w:t>2016年周口市国民经济和社会发展统计公报</w:t>
      </w:r>
    </w:p>
    <w:p>
      <w:pPr>
        <w:pStyle w:val="5"/>
        <w:widowControl/>
        <w:spacing w:beforeAutospacing="0" w:after="150" w:afterAutospacing="0" w:line="480" w:lineRule="atLeast"/>
        <w:jc w:val="center"/>
        <w:rPr>
          <w:rFonts w:ascii="Times New Roman" w:hAnsi="Times New Roman" w:eastAsia="宋体"/>
          <w:color w:val="333333"/>
          <w:spacing w:val="15"/>
        </w:rPr>
      </w:pPr>
    </w:p>
    <w:p>
      <w:pPr>
        <w:pStyle w:val="5"/>
        <w:widowControl/>
        <w:spacing w:beforeAutospacing="0" w:after="150" w:afterAutospacing="0" w:line="480" w:lineRule="atLeast"/>
        <w:jc w:val="center"/>
        <w:rPr>
          <w:rFonts w:ascii="Times New Roman" w:hAnsi="Times New Roman" w:eastAsia="宋体" w:cs="Times New Roman"/>
          <w:color w:val="333333"/>
          <w:kern w:val="0"/>
          <w:sz w:val="24"/>
        </w:rPr>
      </w:pPr>
      <w:r>
        <w:rPr>
          <w:rFonts w:ascii="Times New Roman" w:hAnsi="宋体" w:eastAsia="宋体"/>
          <w:color w:val="333333"/>
          <w:spacing w:val="15"/>
        </w:rPr>
        <w:t>周口市统计局</w:t>
      </w:r>
    </w:p>
    <w:p>
      <w:pPr>
        <w:spacing w:line="600" w:lineRule="exact"/>
        <w:ind w:firstLine="480" w:firstLineChars="200"/>
        <w:rPr>
          <w:rFonts w:ascii="Times New Roman" w:hAnsi="Times New Roman" w:eastAsia="宋体" w:cs="Times New Roman"/>
          <w:color w:val="333333"/>
          <w:kern w:val="0"/>
          <w:sz w:val="24"/>
        </w:rPr>
      </w:pPr>
    </w:p>
    <w:p>
      <w:pPr>
        <w:spacing w:line="600" w:lineRule="exact"/>
        <w:ind w:firstLine="480" w:firstLineChars="200"/>
        <w:rPr>
          <w:rFonts w:ascii="Times New Roman" w:hAnsi="Times New Roman" w:eastAsia="宋体" w:cs="Times New Roman"/>
          <w:color w:val="333333"/>
          <w:kern w:val="0"/>
          <w:sz w:val="24"/>
        </w:rPr>
      </w:pPr>
      <w:r>
        <w:rPr>
          <w:rFonts w:ascii="Times New Roman" w:hAnsi="Times New Roman" w:eastAsia="宋体" w:cs="Times New Roman"/>
          <w:color w:val="333333"/>
          <w:kern w:val="0"/>
          <w:sz w:val="24"/>
        </w:rPr>
        <w:t>2016</w:t>
      </w:r>
      <w:r>
        <w:rPr>
          <w:rFonts w:ascii="Times New Roman" w:hAnsi="宋体" w:eastAsia="宋体" w:cs="Times New Roman"/>
          <w:color w:val="333333"/>
          <w:kern w:val="0"/>
          <w:sz w:val="24"/>
        </w:rPr>
        <w:t>年，全市上下认真贯彻落实市委、市政府各项决策部署，坚持以新发展理念为引领，大力实施周口</w:t>
      </w:r>
      <w:r>
        <w:rPr>
          <w:rFonts w:ascii="Times New Roman" w:hAnsi="宋体" w:eastAsia="宋体" w:cs="Times New Roman"/>
          <w:color w:val="000000" w:themeColor="text1"/>
          <w:kern w:val="0"/>
          <w:sz w:val="24"/>
        </w:rPr>
        <w:t>崛起</w:t>
      </w:r>
      <w:r>
        <w:rPr>
          <w:rFonts w:ascii="Times New Roman" w:hAnsi="宋体" w:eastAsia="宋体" w:cs="Times New Roman"/>
          <w:color w:val="333333"/>
          <w:kern w:val="0"/>
          <w:sz w:val="24"/>
        </w:rPr>
        <w:t>方略，扎实推进供给侧结构性改革，不断加大宏观经济的调控力度，全市经济呈现出</w:t>
      </w:r>
      <w:r>
        <w:rPr>
          <w:rFonts w:ascii="Times New Roman" w:hAnsi="Times New Roman" w:eastAsia="宋体" w:cs="Times New Roman"/>
          <w:color w:val="333333"/>
          <w:kern w:val="0"/>
          <w:sz w:val="24"/>
        </w:rPr>
        <w:t>“</w:t>
      </w:r>
      <w:r>
        <w:rPr>
          <w:rFonts w:ascii="Times New Roman" w:hAnsi="宋体" w:eastAsia="宋体" w:cs="Times New Roman"/>
          <w:color w:val="333333"/>
          <w:kern w:val="0"/>
          <w:sz w:val="24"/>
        </w:rPr>
        <w:t>总体平稳、稳中有进</w:t>
      </w:r>
      <w:r>
        <w:rPr>
          <w:rFonts w:ascii="Times New Roman" w:hAnsi="Times New Roman" w:eastAsia="宋体" w:cs="Times New Roman"/>
          <w:color w:val="333333"/>
          <w:kern w:val="0"/>
          <w:sz w:val="24"/>
        </w:rPr>
        <w:t>”</w:t>
      </w:r>
      <w:r>
        <w:rPr>
          <w:rFonts w:ascii="Times New Roman" w:hAnsi="宋体" w:eastAsia="宋体" w:cs="Times New Roman"/>
          <w:color w:val="333333"/>
          <w:kern w:val="0"/>
          <w:sz w:val="24"/>
        </w:rPr>
        <w:t>的发展态势，实现了</w:t>
      </w:r>
      <w:r>
        <w:rPr>
          <w:rFonts w:ascii="Times New Roman" w:hAnsi="Times New Roman" w:eastAsia="宋体" w:cs="Times New Roman"/>
          <w:color w:val="333333"/>
          <w:kern w:val="0"/>
          <w:sz w:val="24"/>
        </w:rPr>
        <w:t>“</w:t>
      </w:r>
      <w:r>
        <w:rPr>
          <w:rFonts w:ascii="Times New Roman" w:hAnsi="宋体" w:eastAsia="宋体" w:cs="Times New Roman"/>
          <w:color w:val="333333"/>
          <w:kern w:val="0"/>
          <w:sz w:val="24"/>
        </w:rPr>
        <w:t>十三五</w:t>
      </w:r>
      <w:r>
        <w:rPr>
          <w:rFonts w:ascii="Times New Roman" w:hAnsi="Times New Roman" w:eastAsia="宋体" w:cs="Times New Roman"/>
          <w:color w:val="333333"/>
          <w:kern w:val="0"/>
          <w:sz w:val="24"/>
        </w:rPr>
        <w:t>”</w:t>
      </w:r>
      <w:r>
        <w:rPr>
          <w:rFonts w:ascii="Times New Roman" w:hAnsi="宋体" w:eastAsia="宋体" w:cs="Times New Roman"/>
          <w:color w:val="333333"/>
          <w:kern w:val="0"/>
          <w:sz w:val="24"/>
        </w:rPr>
        <w:t>良好开局。</w:t>
      </w:r>
    </w:p>
    <w:p>
      <w:pPr>
        <w:pStyle w:val="5"/>
        <w:widowControl/>
        <w:spacing w:before="240" w:beforeAutospacing="0" w:after="240" w:afterAutospacing="0" w:line="615" w:lineRule="atLeast"/>
        <w:jc w:val="center"/>
        <w:rPr>
          <w:rFonts w:ascii="Times New Roman" w:hAnsi="Times New Roman"/>
          <w:b/>
        </w:rPr>
      </w:pPr>
      <w:r>
        <w:rPr>
          <w:rFonts w:ascii="Times New Roman" w:hAnsi="宋体" w:eastAsia="宋体"/>
          <w:b/>
          <w:color w:val="333333"/>
        </w:rPr>
        <w:t>一、综</w:t>
      </w:r>
      <w:r>
        <w:rPr>
          <w:rFonts w:ascii="Times New Roman" w:hAnsi="Times New Roman" w:eastAsia="宋体"/>
          <w:b/>
          <w:color w:val="333333"/>
        </w:rPr>
        <w:t>  </w:t>
      </w:r>
      <w:r>
        <w:rPr>
          <w:rFonts w:ascii="Times New Roman" w:hAnsi="宋体" w:eastAsia="宋体"/>
          <w:b/>
          <w:color w:val="333333"/>
        </w:rPr>
        <w:t>合</w:t>
      </w:r>
    </w:p>
    <w:p>
      <w:pPr>
        <w:pStyle w:val="5"/>
        <w:widowControl/>
        <w:spacing w:beforeAutospacing="0" w:after="150" w:afterAutospacing="0" w:line="615" w:lineRule="atLeast"/>
        <w:ind w:firstLine="480" w:firstLineChars="200"/>
        <w:jc w:val="both"/>
        <w:rPr>
          <w:rFonts w:hint="eastAsia" w:ascii="Times New Roman" w:hAnsi="Times New Roman"/>
        </w:rPr>
      </w:pPr>
      <w:r>
        <w:rPr>
          <w:rFonts w:ascii="Times New Roman" w:hAnsi="宋体" w:eastAsia="宋体"/>
          <w:color w:val="333333"/>
        </w:rPr>
        <w:t>年末全市总人口</w:t>
      </w:r>
      <w:r>
        <w:rPr>
          <w:rFonts w:ascii="Times New Roman" w:hAnsi="Times New Roman" w:eastAsia="宋体"/>
          <w:color w:val="333333"/>
        </w:rPr>
        <w:t>1149.0</w:t>
      </w:r>
      <w:r>
        <w:rPr>
          <w:rFonts w:ascii="Times New Roman" w:hAnsi="宋体" w:eastAsia="宋体"/>
          <w:color w:val="333333"/>
        </w:rPr>
        <w:t>0万人，常住人口882.07万人。出生率13.05‰</w:t>
      </w:r>
      <w:r>
        <w:rPr>
          <w:rFonts w:hint="eastAsia" w:ascii="Times New Roman" w:hAnsi="宋体" w:eastAsia="宋体"/>
          <w:color w:val="333333"/>
        </w:rPr>
        <w:t>，</w:t>
      </w:r>
      <w:r>
        <w:rPr>
          <w:rFonts w:ascii="Times New Roman" w:hAnsi="宋体" w:eastAsia="宋体"/>
          <w:color w:val="333333"/>
        </w:rPr>
        <w:t>死亡率6.88‰</w:t>
      </w:r>
      <w:r>
        <w:rPr>
          <w:rFonts w:hint="eastAsia" w:ascii="Times New Roman" w:hAnsi="宋体" w:eastAsia="宋体"/>
          <w:color w:val="333333"/>
        </w:rPr>
        <w:t>，</w:t>
      </w:r>
      <w:r>
        <w:rPr>
          <w:rFonts w:ascii="Times New Roman" w:hAnsi="宋体" w:eastAsia="宋体"/>
          <w:color w:val="333333"/>
        </w:rPr>
        <w:t>自然增长率6.16‰。城镇化率达到39.51%。</w:t>
      </w:r>
    </w:p>
    <w:p>
      <w:pPr>
        <w:pStyle w:val="5"/>
        <w:widowControl/>
        <w:spacing w:beforeAutospacing="0" w:after="150" w:afterAutospacing="0" w:line="615" w:lineRule="atLeast"/>
        <w:ind w:firstLine="480" w:firstLineChars="200"/>
        <w:jc w:val="both"/>
        <w:rPr>
          <w:rFonts w:ascii="Times New Roman" w:hAnsi="Times New Roman"/>
        </w:rPr>
      </w:pPr>
      <w:r>
        <w:rPr>
          <w:rFonts w:ascii="Times New Roman" w:hAnsi="宋体" w:eastAsia="宋体"/>
          <w:color w:val="333333"/>
        </w:rPr>
        <w:t>初步核算，全年全市生产总值</w:t>
      </w:r>
      <w:r>
        <w:rPr>
          <w:rFonts w:ascii="Times New Roman" w:hAnsi="Times New Roman" w:eastAsia="宋体"/>
          <w:color w:val="333333"/>
        </w:rPr>
        <w:t xml:space="preserve"> 2260.02</w:t>
      </w:r>
      <w:r>
        <w:rPr>
          <w:rFonts w:ascii="Times New Roman" w:hAnsi="宋体" w:eastAsia="宋体"/>
          <w:color w:val="333333"/>
        </w:rPr>
        <w:t>亿元，同比增长</w:t>
      </w:r>
      <w:r>
        <w:rPr>
          <w:rFonts w:ascii="Times New Roman" w:hAnsi="Times New Roman" w:eastAsia="宋体"/>
          <w:color w:val="333333"/>
        </w:rPr>
        <w:t>8.5%</w:t>
      </w:r>
      <w:r>
        <w:rPr>
          <w:rFonts w:ascii="Times New Roman" w:hAnsi="宋体" w:eastAsia="宋体"/>
          <w:color w:val="333333"/>
        </w:rPr>
        <w:t>。其中：第一产业增加值</w:t>
      </w:r>
      <w:r>
        <w:rPr>
          <w:rFonts w:ascii="Times New Roman" w:hAnsi="Times New Roman" w:eastAsia="宋体"/>
          <w:color w:val="333333"/>
        </w:rPr>
        <w:t>457.63</w:t>
      </w:r>
      <w:r>
        <w:rPr>
          <w:rFonts w:ascii="Times New Roman" w:hAnsi="宋体" w:eastAsia="宋体"/>
          <w:color w:val="333333"/>
        </w:rPr>
        <w:t>亿元，同比增长</w:t>
      </w:r>
      <w:r>
        <w:rPr>
          <w:rFonts w:ascii="Times New Roman" w:hAnsi="Times New Roman" w:eastAsia="宋体"/>
          <w:color w:val="333333"/>
        </w:rPr>
        <w:t>4.3%</w:t>
      </w:r>
      <w:r>
        <w:rPr>
          <w:rFonts w:ascii="Times New Roman" w:hAnsi="宋体" w:eastAsia="宋体"/>
          <w:color w:val="333333"/>
        </w:rPr>
        <w:t>；第二产业增加值</w:t>
      </w:r>
      <w:r>
        <w:rPr>
          <w:rFonts w:ascii="Times New Roman" w:hAnsi="Times New Roman" w:eastAsia="宋体"/>
          <w:color w:val="333333"/>
        </w:rPr>
        <w:t>1038.00</w:t>
      </w:r>
      <w:r>
        <w:rPr>
          <w:rFonts w:ascii="Times New Roman" w:hAnsi="宋体" w:eastAsia="宋体"/>
          <w:color w:val="333333"/>
        </w:rPr>
        <w:t>亿元，同比增长</w:t>
      </w:r>
      <w:r>
        <w:rPr>
          <w:rFonts w:ascii="Times New Roman" w:hAnsi="Times New Roman" w:eastAsia="宋体"/>
          <w:color w:val="333333"/>
        </w:rPr>
        <w:t>9.2%</w:t>
      </w:r>
      <w:r>
        <w:rPr>
          <w:rFonts w:ascii="Times New Roman" w:hAnsi="宋体" w:eastAsia="宋体"/>
          <w:color w:val="333333"/>
        </w:rPr>
        <w:t>；第三产业增加值</w:t>
      </w:r>
      <w:r>
        <w:rPr>
          <w:rFonts w:ascii="Times New Roman" w:hAnsi="Times New Roman" w:eastAsia="宋体"/>
          <w:color w:val="333333"/>
        </w:rPr>
        <w:t>764.40</w:t>
      </w:r>
      <w:r>
        <w:rPr>
          <w:rFonts w:ascii="Times New Roman" w:hAnsi="宋体" w:eastAsia="宋体"/>
          <w:color w:val="333333"/>
        </w:rPr>
        <w:t>亿元，同比增长</w:t>
      </w:r>
      <w:r>
        <w:rPr>
          <w:rFonts w:ascii="Times New Roman" w:hAnsi="Times New Roman" w:eastAsia="宋体"/>
          <w:color w:val="333333"/>
        </w:rPr>
        <w:t>10.2%</w:t>
      </w:r>
      <w:r>
        <w:rPr>
          <w:rFonts w:ascii="Times New Roman" w:hAnsi="宋体" w:eastAsia="宋体"/>
          <w:color w:val="333333"/>
        </w:rPr>
        <w:t>。三次产业结构由上年的</w:t>
      </w:r>
      <w:r>
        <w:rPr>
          <w:rFonts w:ascii="Times New Roman" w:hAnsi="Times New Roman" w:eastAsia="宋体"/>
          <w:color w:val="333333"/>
        </w:rPr>
        <w:t>21.7:45.9:32.4</w:t>
      </w:r>
      <w:r>
        <w:rPr>
          <w:rFonts w:ascii="Times New Roman" w:hAnsi="宋体" w:eastAsia="宋体"/>
          <w:color w:val="333333"/>
        </w:rPr>
        <w:t>调整为</w:t>
      </w:r>
      <w:r>
        <w:rPr>
          <w:rFonts w:ascii="Times New Roman" w:hAnsi="Times New Roman" w:eastAsia="宋体"/>
          <w:color w:val="333333"/>
        </w:rPr>
        <w:t>20.3:45.9:33.8</w:t>
      </w:r>
      <w:r>
        <w:rPr>
          <w:rFonts w:ascii="Times New Roman" w:hAnsi="宋体" w:eastAsia="宋体"/>
          <w:color w:val="333333"/>
        </w:rPr>
        <w:t>。二三产业占</w:t>
      </w:r>
      <w:r>
        <w:rPr>
          <w:rFonts w:ascii="Times New Roman" w:hAnsi="Times New Roman" w:eastAsia="宋体"/>
          <w:color w:val="333333"/>
        </w:rPr>
        <w:t>GDP</w:t>
      </w:r>
      <w:r>
        <w:rPr>
          <w:rFonts w:ascii="Times New Roman" w:hAnsi="宋体" w:eastAsia="宋体"/>
          <w:color w:val="333333"/>
        </w:rPr>
        <w:t>的比重达</w:t>
      </w:r>
      <w:r>
        <w:rPr>
          <w:rFonts w:ascii="Times New Roman" w:hAnsi="Times New Roman" w:eastAsia="宋体"/>
          <w:color w:val="333333"/>
        </w:rPr>
        <w:t>79.7%</w:t>
      </w:r>
      <w:r>
        <w:rPr>
          <w:rFonts w:ascii="Times New Roman" w:hAnsi="宋体" w:eastAsia="宋体"/>
          <w:color w:val="333333"/>
        </w:rPr>
        <w:t>，较上年提高</w:t>
      </w:r>
      <w:r>
        <w:rPr>
          <w:rFonts w:ascii="Times New Roman" w:hAnsi="Times New Roman" w:eastAsia="宋体"/>
          <w:color w:val="333333"/>
        </w:rPr>
        <w:t>1.</w:t>
      </w:r>
      <w:r>
        <w:rPr>
          <w:rFonts w:hint="eastAsia" w:ascii="Times New Roman" w:hAnsi="Times New Roman" w:eastAsia="宋体"/>
          <w:color w:val="333333"/>
          <w:lang w:val="en-US" w:eastAsia="zh-CN"/>
        </w:rPr>
        <w:t>4</w:t>
      </w:r>
      <w:r>
        <w:rPr>
          <w:rFonts w:ascii="Times New Roman" w:hAnsi="宋体" w:eastAsia="宋体"/>
          <w:color w:val="333333"/>
        </w:rPr>
        <w:t>个百分点。</w:t>
      </w:r>
    </w:p>
    <w:p>
      <w:pPr>
        <w:rPr>
          <w:rFonts w:ascii="Times New Roman" w:hAnsi="宋体" w:eastAsia="宋体" w:cs="Times New Roman"/>
          <w:b/>
          <w:color w:val="333333"/>
          <w:sz w:val="24"/>
        </w:rPr>
      </w:pPr>
      <w:r>
        <w:rPr>
          <w:rFonts w:ascii="Times New Roman" w:hAnsi="宋体" w:eastAsia="宋体" w:cs="Times New Roman"/>
          <w:b/>
          <w:color w:val="333333"/>
          <w:sz w:val="24"/>
        </w:rPr>
        <w:t>图</w:t>
      </w:r>
      <w:r>
        <w:rPr>
          <w:rFonts w:ascii="Times New Roman" w:hAnsi="Times New Roman" w:eastAsia="宋体" w:cs="Times New Roman"/>
          <w:b/>
          <w:color w:val="333333"/>
          <w:sz w:val="24"/>
        </w:rPr>
        <w:t>1</w:t>
      </w:r>
      <w:r>
        <w:rPr>
          <w:rFonts w:ascii="Times New Roman" w:hAnsi="宋体" w:eastAsia="宋体" w:cs="Times New Roman"/>
          <w:b/>
          <w:color w:val="333333"/>
          <w:sz w:val="24"/>
        </w:rPr>
        <w:t>：</w:t>
      </w:r>
      <w:r>
        <w:rPr>
          <w:rFonts w:ascii="Times New Roman" w:hAnsi="Times New Roman" w:eastAsia="宋体" w:cs="Times New Roman"/>
          <w:b/>
          <w:color w:val="333333"/>
          <w:sz w:val="24"/>
        </w:rPr>
        <w:t>2011-2016</w:t>
      </w:r>
      <w:r>
        <w:rPr>
          <w:rFonts w:ascii="Times New Roman" w:hAnsi="宋体" w:eastAsia="宋体" w:cs="Times New Roman"/>
          <w:b/>
          <w:color w:val="333333"/>
          <w:sz w:val="24"/>
        </w:rPr>
        <w:t>年生产总值及增速</w:t>
      </w:r>
    </w:p>
    <w:p>
      <w:pPr>
        <w:rPr>
          <w:rFonts w:ascii="Times New Roman" w:hAnsi="宋体" w:eastAsia="宋体" w:cs="Times New Roman"/>
          <w:b/>
          <w:color w:val="333333"/>
          <w:sz w:val="24"/>
        </w:rPr>
      </w:pPr>
    </w:p>
    <w:p>
      <w:pPr>
        <w:jc w:val="center"/>
        <w:rPr>
          <w:rFonts w:ascii="Times New Roman" w:hAnsi="Times New Roman" w:eastAsia="宋体" w:cs="Times New Roman"/>
          <w:color w:val="333333"/>
          <w:sz w:val="24"/>
        </w:rPr>
      </w:pPr>
      <w:r>
        <w:rPr>
          <w:rFonts w:hint="eastAsia" w:ascii="Times New Roman" w:hAnsi="Times New Roman" w:eastAsia="宋体" w:cs="Times New Roman"/>
          <w:color w:val="333333"/>
          <w:sz w:val="24"/>
        </w:rPr>
        <w:drawing>
          <wp:inline distT="0" distB="0" distL="114300" distR="114300">
            <wp:extent cx="4504690" cy="3371215"/>
            <wp:effectExtent l="0" t="0" r="10160" b="635"/>
            <wp:docPr id="6" name="图片 6" descr="图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图一"/>
                    <pic:cNvPicPr>
                      <a:picLocks noChangeAspect="1"/>
                    </pic:cNvPicPr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04690" cy="3371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ascii="Times New Roman" w:hAnsi="宋体" w:eastAsia="宋体" w:cs="Times New Roman"/>
          <w:b/>
          <w:color w:val="333333"/>
          <w:sz w:val="24"/>
        </w:rPr>
      </w:pPr>
      <w:r>
        <w:rPr>
          <w:rFonts w:ascii="Times New Roman" w:hAnsi="宋体" w:eastAsia="宋体" w:cs="Times New Roman"/>
          <w:b/>
          <w:color w:val="333333"/>
          <w:sz w:val="24"/>
        </w:rPr>
        <w:t>图2：2015-2016年三次产业比重变化情况</w:t>
      </w:r>
    </w:p>
    <w:p>
      <w:pPr>
        <w:rPr>
          <w:rFonts w:ascii="Times New Roman" w:hAnsi="Times New Roman" w:eastAsia="宋体" w:cs="Times New Roman"/>
          <w:color w:val="333333"/>
          <w:sz w:val="24"/>
        </w:rPr>
      </w:pPr>
    </w:p>
    <w:p>
      <w:pPr>
        <w:jc w:val="center"/>
        <w:rPr>
          <w:rFonts w:ascii="Times New Roman" w:hAnsi="Times New Roman" w:eastAsia="宋体" w:cs="Times New Roman"/>
          <w:color w:val="333333"/>
          <w:sz w:val="24"/>
        </w:rPr>
      </w:pPr>
      <w:r>
        <w:rPr>
          <w:rFonts w:hint="eastAsia" w:ascii="Times New Roman" w:hAnsi="Times New Roman" w:eastAsia="宋体" w:cs="Times New Roman"/>
          <w:color w:val="333333"/>
          <w:sz w:val="24"/>
        </w:rPr>
        <w:drawing>
          <wp:inline distT="0" distB="0" distL="114300" distR="114300">
            <wp:extent cx="5271770" cy="2833370"/>
            <wp:effectExtent l="0" t="0" r="5080" b="5080"/>
            <wp:docPr id="7" name="图片 7" descr="图二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图二"/>
                    <pic:cNvPicPr>
                      <a:picLocks noChangeAspect="1"/>
                    </pic:cNvPicPr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2833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600" w:lineRule="exact"/>
        <w:ind w:firstLine="480" w:firstLineChars="200"/>
        <w:rPr>
          <w:rFonts w:ascii="Times New Roman" w:hAnsi="Times New Roman"/>
        </w:rPr>
      </w:pPr>
      <w:r>
        <w:rPr>
          <w:rFonts w:ascii="Times New Roman" w:hAnsi="宋体" w:eastAsia="宋体" w:cs="Times New Roman"/>
          <w:color w:val="333333"/>
          <w:sz w:val="24"/>
        </w:rPr>
        <w:t>全年全市</w:t>
      </w:r>
      <w:r>
        <w:rPr>
          <w:rFonts w:ascii="Times New Roman" w:hAnsi="Times New Roman" w:eastAsia="宋体" w:cs="Times New Roman"/>
          <w:color w:val="333333"/>
          <w:sz w:val="24"/>
        </w:rPr>
        <w:t>居民消费价格</w:t>
      </w:r>
      <w:r>
        <w:rPr>
          <w:rFonts w:hint="eastAsia" w:ascii="Times New Roman" w:hAnsi="Times New Roman" w:eastAsia="宋体" w:cs="Times New Roman"/>
          <w:color w:val="333333"/>
          <w:sz w:val="24"/>
          <w:lang w:eastAsia="zh-CN"/>
        </w:rPr>
        <w:t>同比</w:t>
      </w:r>
      <w:r>
        <w:rPr>
          <w:rFonts w:ascii="Times New Roman" w:hAnsi="Times New Roman" w:eastAsia="宋体" w:cs="Times New Roman"/>
          <w:color w:val="333333"/>
          <w:sz w:val="24"/>
        </w:rPr>
        <w:t>上涨1.5%。其中：食品烟酒类价格同比上涨2.7%，衣着类价格同比上涨1.8%，居住类价格同比上涨1.2%，生活用品及服务类价格同比下降0.3%，交通和通信类价格同比下降1.1%，教育文化和娱乐类价格同比上涨1.4%，医疗保健类</w:t>
      </w:r>
      <w:r>
        <w:rPr>
          <w:rFonts w:hint="eastAsia" w:ascii="Times New Roman" w:hAnsi="Times New Roman" w:eastAsia="宋体" w:cs="Times New Roman"/>
          <w:color w:val="333333"/>
          <w:sz w:val="24"/>
          <w:lang w:eastAsia="zh-CN"/>
        </w:rPr>
        <w:t>价格</w:t>
      </w:r>
      <w:r>
        <w:rPr>
          <w:rFonts w:ascii="Times New Roman" w:hAnsi="Times New Roman" w:eastAsia="宋体" w:cs="Times New Roman"/>
          <w:color w:val="333333"/>
          <w:sz w:val="24"/>
        </w:rPr>
        <w:t>同比上涨2.0%，其他用品和服务类价格同比上涨2.8%。</w:t>
      </w:r>
    </w:p>
    <w:p>
      <w:pPr>
        <w:pStyle w:val="5"/>
        <w:widowControl/>
        <w:spacing w:beforeAutospacing="0" w:after="150" w:afterAutospacing="0" w:line="300" w:lineRule="atLeast"/>
        <w:rPr>
          <w:rFonts w:ascii="Times New Roman" w:hAnsi="Times New Roman"/>
        </w:rPr>
      </w:pPr>
      <w:r>
        <w:rPr>
          <w:rStyle w:val="7"/>
          <w:rFonts w:ascii="Times New Roman" w:hAnsi="宋体" w:eastAsia="宋体"/>
          <w:color w:val="333333"/>
        </w:rPr>
        <w:t>表</w:t>
      </w:r>
      <w:r>
        <w:rPr>
          <w:rStyle w:val="7"/>
          <w:rFonts w:ascii="Times New Roman" w:hAnsi="Times New Roman" w:eastAsia="宋体"/>
          <w:color w:val="333333"/>
        </w:rPr>
        <w:t>1</w:t>
      </w:r>
      <w:r>
        <w:rPr>
          <w:rStyle w:val="7"/>
          <w:rFonts w:ascii="Times New Roman" w:hAnsi="宋体" w:eastAsia="宋体"/>
          <w:color w:val="333333"/>
        </w:rPr>
        <w:t>：</w:t>
      </w:r>
      <w:r>
        <w:rPr>
          <w:rStyle w:val="7"/>
          <w:rFonts w:ascii="Times New Roman" w:hAnsi="Times New Roman" w:eastAsia="宋体"/>
          <w:color w:val="333333"/>
        </w:rPr>
        <w:t>201</w:t>
      </w:r>
      <w:r>
        <w:rPr>
          <w:rStyle w:val="7"/>
          <w:rFonts w:hint="eastAsia" w:ascii="Times New Roman" w:hAnsi="Times New Roman" w:eastAsia="宋体"/>
          <w:color w:val="333333"/>
          <w:lang w:val="en-US" w:eastAsia="zh-CN"/>
        </w:rPr>
        <w:t>6</w:t>
      </w:r>
      <w:r>
        <w:rPr>
          <w:rStyle w:val="7"/>
          <w:rFonts w:ascii="Times New Roman" w:hAnsi="宋体" w:eastAsia="宋体"/>
          <w:color w:val="333333"/>
        </w:rPr>
        <w:t>年居民消费价格指数</w:t>
      </w:r>
    </w:p>
    <w:p>
      <w:pPr>
        <w:pStyle w:val="5"/>
        <w:widowControl/>
        <w:spacing w:beforeAutospacing="0" w:after="150" w:afterAutospacing="0" w:line="300" w:lineRule="atLeast"/>
        <w:ind w:firstLine="480"/>
        <w:jc w:val="right"/>
        <w:rPr>
          <w:rFonts w:ascii="Times New Roman" w:hAnsi="Times New Roman"/>
          <w:sz w:val="21"/>
          <w:szCs w:val="21"/>
        </w:rPr>
      </w:pPr>
      <w:r>
        <w:rPr>
          <w:rFonts w:ascii="Times New Roman" w:hAnsi="宋体" w:eastAsia="宋体"/>
          <w:color w:val="333333"/>
          <w:sz w:val="21"/>
          <w:szCs w:val="21"/>
        </w:rPr>
        <w:t>以上年为</w:t>
      </w:r>
      <w:r>
        <w:rPr>
          <w:rFonts w:ascii="Times New Roman" w:hAnsi="Times New Roman" w:eastAsia="宋体"/>
          <w:color w:val="333333"/>
          <w:sz w:val="21"/>
          <w:szCs w:val="21"/>
        </w:rPr>
        <w:t>100   </w:t>
      </w:r>
    </w:p>
    <w:tbl>
      <w:tblPr>
        <w:tblStyle w:val="8"/>
        <w:tblW w:w="7775" w:type="dxa"/>
        <w:jc w:val="center"/>
        <w:tblInd w:w="268" w:type="dxa"/>
        <w:tblBorders>
          <w:top w:val="single" w:color="999999" w:sz="2" w:space="0"/>
          <w:left w:val="single" w:color="999999" w:sz="2" w:space="0"/>
          <w:bottom w:val="single" w:color="999999" w:sz="2" w:space="0"/>
          <w:right w:val="single" w:color="999999" w:sz="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340"/>
        <w:gridCol w:w="2435"/>
      </w:tblGrid>
      <w:tr>
        <w:tblPrEx>
          <w:tblBorders>
            <w:top w:val="single" w:color="999999" w:sz="2" w:space="0"/>
            <w:left w:val="single" w:color="999999" w:sz="2" w:space="0"/>
            <w:bottom w:val="single" w:color="999999" w:sz="2" w:space="0"/>
            <w:right w:val="single" w:color="999999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5340" w:type="dxa"/>
            <w:tcBorders>
              <w:top w:val="single" w:color="000000" w:sz="6" w:space="0"/>
              <w:left w:val="nil"/>
              <w:bottom w:val="nil"/>
              <w:right w:val="nil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widowControl/>
              <w:spacing w:beforeAutospacing="0" w:after="150" w:afterAutospacing="0" w:line="300" w:lineRule="atLeas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Style w:val="7"/>
                <w:rFonts w:ascii="Times New Roman" w:hAnsi="宋体" w:eastAsia="宋体"/>
                <w:sz w:val="21"/>
                <w:szCs w:val="21"/>
              </w:rPr>
              <w:t>类</w:t>
            </w:r>
            <w:r>
              <w:rPr>
                <w:rStyle w:val="7"/>
                <w:rFonts w:ascii="Times New Roman" w:hAnsi="Times New Roman" w:eastAsia="宋体"/>
                <w:sz w:val="21"/>
                <w:szCs w:val="21"/>
              </w:rPr>
              <w:t xml:space="preserve">       </w:t>
            </w:r>
            <w:r>
              <w:rPr>
                <w:rStyle w:val="7"/>
                <w:rFonts w:ascii="Times New Roman" w:hAnsi="宋体" w:eastAsia="宋体"/>
                <w:sz w:val="21"/>
                <w:szCs w:val="21"/>
              </w:rPr>
              <w:t>别</w:t>
            </w:r>
          </w:p>
        </w:tc>
        <w:tc>
          <w:tcPr>
            <w:tcW w:w="2435" w:type="dxa"/>
            <w:tcBorders>
              <w:top w:val="single" w:color="000000" w:sz="6" w:space="0"/>
              <w:left w:val="nil"/>
              <w:bottom w:val="nil"/>
              <w:right w:val="nil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widowControl/>
              <w:spacing w:beforeAutospacing="0" w:after="150" w:afterAutospacing="0" w:line="300" w:lineRule="atLeas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Style w:val="7"/>
                <w:rFonts w:ascii="Times New Roman" w:hAnsi="宋体" w:eastAsia="宋体"/>
                <w:sz w:val="21"/>
                <w:szCs w:val="21"/>
              </w:rPr>
              <w:t>指</w:t>
            </w:r>
            <w:r>
              <w:rPr>
                <w:rStyle w:val="7"/>
                <w:rFonts w:ascii="Times New Roman" w:hAnsi="Times New Roman" w:eastAsia="宋体"/>
                <w:sz w:val="21"/>
                <w:szCs w:val="21"/>
              </w:rPr>
              <w:t xml:space="preserve">  </w:t>
            </w:r>
            <w:r>
              <w:rPr>
                <w:rStyle w:val="7"/>
                <w:rFonts w:ascii="Times New Roman" w:hAnsi="宋体" w:eastAsia="宋体"/>
                <w:sz w:val="21"/>
                <w:szCs w:val="21"/>
              </w:rPr>
              <w:t>数</w:t>
            </w:r>
          </w:p>
        </w:tc>
      </w:tr>
      <w:tr>
        <w:tblPrEx>
          <w:tblBorders>
            <w:top w:val="single" w:color="999999" w:sz="2" w:space="0"/>
            <w:left w:val="single" w:color="999999" w:sz="2" w:space="0"/>
            <w:bottom w:val="single" w:color="999999" w:sz="2" w:space="0"/>
            <w:right w:val="single" w:color="999999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widowControl/>
              <w:spacing w:beforeAutospacing="0" w:after="150" w:afterAutospacing="0" w:line="300" w:lineRule="atLeast"/>
              <w:ind w:firstLine="645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宋体" w:eastAsia="宋体"/>
                <w:sz w:val="21"/>
                <w:szCs w:val="21"/>
              </w:rPr>
              <w:t>居民消费价格指数</w:t>
            </w:r>
          </w:p>
        </w:tc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widowControl/>
              <w:spacing w:beforeAutospacing="0" w:after="150" w:afterAutospacing="0" w:line="300" w:lineRule="atLeast"/>
              <w:ind w:right="210"/>
              <w:jc w:val="right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>101.5</w:t>
            </w:r>
          </w:p>
        </w:tc>
      </w:tr>
      <w:tr>
        <w:tblPrEx>
          <w:tblBorders>
            <w:top w:val="single" w:color="999999" w:sz="2" w:space="0"/>
            <w:left w:val="single" w:color="999999" w:sz="2" w:space="0"/>
            <w:bottom w:val="single" w:color="999999" w:sz="2" w:space="0"/>
            <w:right w:val="single" w:color="999999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widowControl/>
              <w:spacing w:beforeAutospacing="0" w:after="150" w:afterAutospacing="0" w:line="300" w:lineRule="atLeast"/>
              <w:ind w:firstLine="645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>  #</w:t>
            </w:r>
            <w:r>
              <w:rPr>
                <w:rFonts w:ascii="Times New Roman" w:hAnsi="宋体" w:eastAsia="宋体"/>
                <w:sz w:val="21"/>
                <w:szCs w:val="21"/>
              </w:rPr>
              <w:t>城市</w:t>
            </w:r>
          </w:p>
        </w:tc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widowControl/>
              <w:spacing w:beforeAutospacing="0" w:after="150" w:afterAutospacing="0" w:line="300" w:lineRule="atLeast"/>
              <w:ind w:right="210"/>
              <w:jc w:val="right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>101.4</w:t>
            </w:r>
          </w:p>
        </w:tc>
      </w:tr>
      <w:tr>
        <w:tblPrEx>
          <w:tblBorders>
            <w:top w:val="single" w:color="999999" w:sz="2" w:space="0"/>
            <w:left w:val="single" w:color="999999" w:sz="2" w:space="0"/>
            <w:bottom w:val="single" w:color="999999" w:sz="2" w:space="0"/>
            <w:right w:val="single" w:color="999999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widowControl/>
              <w:spacing w:beforeAutospacing="0" w:after="150" w:afterAutospacing="0" w:line="300" w:lineRule="atLeast"/>
              <w:ind w:firstLine="645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>   </w:t>
            </w:r>
            <w:r>
              <w:rPr>
                <w:rFonts w:ascii="Times New Roman" w:hAnsi="宋体" w:eastAsia="宋体"/>
                <w:sz w:val="21"/>
                <w:szCs w:val="21"/>
              </w:rPr>
              <w:t>农村</w:t>
            </w:r>
          </w:p>
        </w:tc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widowControl/>
              <w:spacing w:beforeAutospacing="0" w:after="150" w:afterAutospacing="0" w:line="300" w:lineRule="atLeast"/>
              <w:ind w:right="210"/>
              <w:jc w:val="right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>101.7</w:t>
            </w:r>
          </w:p>
        </w:tc>
      </w:tr>
      <w:tr>
        <w:tblPrEx>
          <w:tblBorders>
            <w:top w:val="single" w:color="999999" w:sz="2" w:space="0"/>
            <w:left w:val="single" w:color="999999" w:sz="2" w:space="0"/>
            <w:bottom w:val="single" w:color="999999" w:sz="2" w:space="0"/>
            <w:right w:val="single" w:color="999999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widowControl/>
              <w:spacing w:beforeAutospacing="0" w:after="150" w:afterAutospacing="0" w:line="300" w:lineRule="atLeast"/>
              <w:ind w:firstLine="645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>#</w:t>
            </w:r>
            <w:r>
              <w:rPr>
                <w:rFonts w:ascii="Times New Roman" w:hAnsi="宋体" w:eastAsia="宋体"/>
                <w:sz w:val="21"/>
                <w:szCs w:val="21"/>
              </w:rPr>
              <w:t>食品烟酒</w:t>
            </w:r>
          </w:p>
        </w:tc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widowControl/>
              <w:spacing w:beforeAutospacing="0" w:after="150" w:afterAutospacing="0" w:line="300" w:lineRule="atLeast"/>
              <w:ind w:right="210"/>
              <w:jc w:val="right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 xml:space="preserve">102.7 </w:t>
            </w:r>
          </w:p>
        </w:tc>
      </w:tr>
      <w:tr>
        <w:tblPrEx>
          <w:tblBorders>
            <w:top w:val="single" w:color="999999" w:sz="2" w:space="0"/>
            <w:left w:val="single" w:color="999999" w:sz="2" w:space="0"/>
            <w:bottom w:val="single" w:color="999999" w:sz="2" w:space="0"/>
            <w:right w:val="single" w:color="999999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widowControl/>
              <w:spacing w:beforeAutospacing="0" w:after="150" w:afterAutospacing="0" w:line="300" w:lineRule="atLeast"/>
              <w:ind w:firstLine="645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 xml:space="preserve">  #</w:t>
            </w:r>
            <w:r>
              <w:rPr>
                <w:rFonts w:ascii="Times New Roman" w:hAnsi="宋体" w:eastAsia="宋体"/>
                <w:sz w:val="21"/>
                <w:szCs w:val="21"/>
              </w:rPr>
              <w:t>粮</w:t>
            </w:r>
            <w:r>
              <w:rPr>
                <w:rFonts w:ascii="Times New Roman" w:hAnsi="Times New Roman" w:eastAsia="宋体"/>
                <w:sz w:val="21"/>
                <w:szCs w:val="21"/>
              </w:rPr>
              <w:t xml:space="preserve">    </w:t>
            </w:r>
            <w:r>
              <w:rPr>
                <w:rFonts w:ascii="Times New Roman" w:hAnsi="宋体" w:eastAsia="宋体"/>
                <w:sz w:val="21"/>
                <w:szCs w:val="21"/>
              </w:rPr>
              <w:t>食</w:t>
            </w:r>
          </w:p>
        </w:tc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widowControl/>
              <w:spacing w:beforeAutospacing="0" w:after="150" w:afterAutospacing="0" w:line="300" w:lineRule="atLeast"/>
              <w:ind w:right="210"/>
              <w:jc w:val="right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 xml:space="preserve">100.4 </w:t>
            </w:r>
          </w:p>
        </w:tc>
      </w:tr>
      <w:tr>
        <w:tblPrEx>
          <w:tblBorders>
            <w:top w:val="single" w:color="999999" w:sz="2" w:space="0"/>
            <w:left w:val="single" w:color="999999" w:sz="2" w:space="0"/>
            <w:bottom w:val="single" w:color="999999" w:sz="2" w:space="0"/>
            <w:right w:val="single" w:color="999999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widowControl/>
              <w:spacing w:beforeAutospacing="0" w:after="150" w:afterAutospacing="0" w:line="300" w:lineRule="atLeast"/>
              <w:ind w:firstLine="645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 xml:space="preserve">  </w:t>
            </w:r>
            <w:r>
              <w:rPr>
                <w:rFonts w:ascii="Times New Roman" w:hAnsi="宋体" w:eastAsia="宋体"/>
                <w:sz w:val="21"/>
                <w:szCs w:val="21"/>
              </w:rPr>
              <w:t>鲜</w:t>
            </w:r>
            <w:r>
              <w:rPr>
                <w:rFonts w:ascii="Times New Roman" w:hAnsi="Times New Roman" w:eastAsia="宋体"/>
                <w:sz w:val="21"/>
                <w:szCs w:val="21"/>
              </w:rPr>
              <w:t xml:space="preserve">    </w:t>
            </w:r>
            <w:r>
              <w:rPr>
                <w:rFonts w:ascii="Times New Roman" w:hAnsi="宋体" w:eastAsia="宋体"/>
                <w:sz w:val="21"/>
                <w:szCs w:val="21"/>
              </w:rPr>
              <w:t>菜</w:t>
            </w:r>
          </w:p>
        </w:tc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widowControl/>
              <w:spacing w:beforeAutospacing="0" w:after="150" w:afterAutospacing="0" w:line="300" w:lineRule="atLeast"/>
              <w:ind w:right="210"/>
              <w:jc w:val="right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 xml:space="preserve">116.1 </w:t>
            </w:r>
          </w:p>
        </w:tc>
      </w:tr>
      <w:tr>
        <w:tblPrEx>
          <w:tblBorders>
            <w:top w:val="single" w:color="999999" w:sz="2" w:space="0"/>
            <w:left w:val="single" w:color="999999" w:sz="2" w:space="0"/>
            <w:bottom w:val="single" w:color="999999" w:sz="2" w:space="0"/>
            <w:right w:val="single" w:color="999999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widowControl/>
              <w:spacing w:beforeAutospacing="0" w:after="150" w:afterAutospacing="0" w:line="300" w:lineRule="atLeast"/>
              <w:ind w:firstLine="645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 xml:space="preserve">  </w:t>
            </w:r>
            <w:r>
              <w:rPr>
                <w:rFonts w:ascii="Times New Roman" w:hAnsi="宋体" w:eastAsia="宋体"/>
                <w:sz w:val="21"/>
                <w:szCs w:val="21"/>
              </w:rPr>
              <w:t>畜</w:t>
            </w:r>
            <w:r>
              <w:rPr>
                <w:rFonts w:ascii="Times New Roman" w:hAnsi="Times New Roman" w:eastAsia="宋体"/>
                <w:sz w:val="21"/>
                <w:szCs w:val="21"/>
              </w:rPr>
              <w:t xml:space="preserve">    </w:t>
            </w:r>
            <w:r>
              <w:rPr>
                <w:rFonts w:ascii="Times New Roman" w:hAnsi="宋体" w:eastAsia="宋体"/>
                <w:sz w:val="21"/>
                <w:szCs w:val="21"/>
              </w:rPr>
              <w:t>肉</w:t>
            </w:r>
          </w:p>
        </w:tc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widowControl/>
              <w:spacing w:beforeAutospacing="0" w:after="150" w:afterAutospacing="0" w:line="300" w:lineRule="atLeast"/>
              <w:ind w:right="210"/>
              <w:jc w:val="right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 xml:space="preserve">111.3 </w:t>
            </w:r>
          </w:p>
        </w:tc>
      </w:tr>
      <w:tr>
        <w:tblPrEx>
          <w:tblBorders>
            <w:top w:val="single" w:color="999999" w:sz="2" w:space="0"/>
            <w:left w:val="single" w:color="999999" w:sz="2" w:space="0"/>
            <w:bottom w:val="single" w:color="999999" w:sz="2" w:space="0"/>
            <w:right w:val="single" w:color="999999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widowControl/>
              <w:spacing w:beforeAutospacing="0" w:after="150" w:afterAutospacing="0" w:line="300" w:lineRule="atLeast"/>
              <w:ind w:firstLine="645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 xml:space="preserve">  </w:t>
            </w:r>
            <w:r>
              <w:rPr>
                <w:rFonts w:ascii="Times New Roman" w:hAnsi="宋体" w:eastAsia="宋体"/>
                <w:sz w:val="21"/>
                <w:szCs w:val="21"/>
              </w:rPr>
              <w:t>水</w:t>
            </w:r>
            <w:r>
              <w:rPr>
                <w:rFonts w:ascii="Times New Roman" w:hAnsi="Times New Roman" w:eastAsia="宋体"/>
                <w:sz w:val="21"/>
                <w:szCs w:val="21"/>
              </w:rPr>
              <w:t xml:space="preserve"> </w:t>
            </w:r>
            <w:r>
              <w:rPr>
                <w:rFonts w:ascii="Times New Roman" w:hAnsi="宋体" w:eastAsia="宋体"/>
                <w:sz w:val="21"/>
                <w:szCs w:val="21"/>
              </w:rPr>
              <w:t>产</w:t>
            </w:r>
            <w:r>
              <w:rPr>
                <w:rFonts w:ascii="Times New Roman" w:hAnsi="Times New Roman" w:eastAsia="宋体"/>
                <w:sz w:val="21"/>
                <w:szCs w:val="21"/>
              </w:rPr>
              <w:t xml:space="preserve"> </w:t>
            </w:r>
            <w:r>
              <w:rPr>
                <w:rFonts w:ascii="Times New Roman" w:hAnsi="宋体" w:eastAsia="宋体"/>
                <w:sz w:val="21"/>
                <w:szCs w:val="21"/>
              </w:rPr>
              <w:t>品</w:t>
            </w:r>
          </w:p>
        </w:tc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widowControl/>
              <w:spacing w:beforeAutospacing="0" w:after="150" w:afterAutospacing="0" w:line="300" w:lineRule="atLeast"/>
              <w:ind w:right="210"/>
              <w:jc w:val="right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 xml:space="preserve">100.4 </w:t>
            </w:r>
          </w:p>
        </w:tc>
      </w:tr>
      <w:tr>
        <w:tblPrEx>
          <w:tblBorders>
            <w:top w:val="single" w:color="999999" w:sz="2" w:space="0"/>
            <w:left w:val="single" w:color="999999" w:sz="2" w:space="0"/>
            <w:bottom w:val="single" w:color="999999" w:sz="2" w:space="0"/>
            <w:right w:val="single" w:color="999999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widowControl/>
              <w:spacing w:beforeAutospacing="0" w:after="150" w:afterAutospacing="0" w:line="300" w:lineRule="atLeast"/>
              <w:ind w:firstLine="645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 xml:space="preserve">  </w:t>
            </w:r>
            <w:r>
              <w:rPr>
                <w:rFonts w:ascii="Times New Roman" w:hAnsi="宋体" w:eastAsia="宋体"/>
                <w:sz w:val="21"/>
                <w:szCs w:val="21"/>
              </w:rPr>
              <w:t>蛋</w:t>
            </w:r>
          </w:p>
        </w:tc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widowControl/>
              <w:spacing w:beforeAutospacing="0" w:after="150" w:afterAutospacing="0" w:line="300" w:lineRule="atLeast"/>
              <w:ind w:right="210"/>
              <w:jc w:val="right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 xml:space="preserve">95.6 </w:t>
            </w:r>
          </w:p>
        </w:tc>
      </w:tr>
      <w:tr>
        <w:tblPrEx>
          <w:tblBorders>
            <w:top w:val="single" w:color="999999" w:sz="2" w:space="0"/>
            <w:left w:val="single" w:color="999999" w:sz="2" w:space="0"/>
            <w:bottom w:val="single" w:color="999999" w:sz="2" w:space="0"/>
            <w:right w:val="single" w:color="999999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6" w:hRule="atLeast"/>
          <w:jc w:val="center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widowControl/>
              <w:spacing w:beforeAutospacing="0" w:after="150" w:afterAutospacing="0" w:line="300" w:lineRule="atLeast"/>
              <w:ind w:firstLine="645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 xml:space="preserve">  </w:t>
            </w:r>
            <w:r>
              <w:rPr>
                <w:rFonts w:ascii="Times New Roman" w:hAnsi="宋体" w:eastAsia="宋体"/>
                <w:sz w:val="21"/>
                <w:szCs w:val="21"/>
              </w:rPr>
              <w:t>鲜</w:t>
            </w:r>
            <w:r>
              <w:rPr>
                <w:rFonts w:ascii="Times New Roman" w:hAnsi="Times New Roman" w:eastAsia="宋体"/>
                <w:sz w:val="21"/>
                <w:szCs w:val="21"/>
              </w:rPr>
              <w:t xml:space="preserve">    </w:t>
            </w:r>
            <w:r>
              <w:rPr>
                <w:rFonts w:ascii="Times New Roman" w:hAnsi="宋体" w:eastAsia="宋体"/>
                <w:sz w:val="21"/>
                <w:szCs w:val="21"/>
              </w:rPr>
              <w:t>果</w:t>
            </w:r>
          </w:p>
        </w:tc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widowControl/>
              <w:spacing w:beforeAutospacing="0" w:after="150" w:afterAutospacing="0" w:line="300" w:lineRule="atLeast"/>
              <w:ind w:right="210"/>
              <w:jc w:val="right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 xml:space="preserve">89.7 </w:t>
            </w:r>
          </w:p>
        </w:tc>
      </w:tr>
      <w:tr>
        <w:tblPrEx>
          <w:tblBorders>
            <w:top w:val="single" w:color="999999" w:sz="2" w:space="0"/>
            <w:left w:val="single" w:color="999999" w:sz="2" w:space="0"/>
            <w:bottom w:val="single" w:color="999999" w:sz="2" w:space="0"/>
            <w:right w:val="single" w:color="999999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widowControl/>
              <w:spacing w:beforeAutospacing="0" w:after="150" w:afterAutospacing="0" w:line="300" w:lineRule="atLeast"/>
              <w:ind w:firstLine="645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宋体" w:eastAsia="宋体"/>
                <w:sz w:val="21"/>
                <w:szCs w:val="21"/>
              </w:rPr>
              <w:t>衣着</w:t>
            </w:r>
          </w:p>
        </w:tc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widowControl/>
              <w:spacing w:beforeAutospacing="0" w:after="150" w:afterAutospacing="0" w:line="300" w:lineRule="atLeast"/>
              <w:ind w:right="210"/>
              <w:jc w:val="right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 xml:space="preserve">101.8 </w:t>
            </w:r>
          </w:p>
        </w:tc>
      </w:tr>
      <w:tr>
        <w:tblPrEx>
          <w:tblBorders>
            <w:top w:val="single" w:color="999999" w:sz="2" w:space="0"/>
            <w:left w:val="single" w:color="999999" w:sz="2" w:space="0"/>
            <w:bottom w:val="single" w:color="999999" w:sz="2" w:space="0"/>
            <w:right w:val="single" w:color="999999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widowControl/>
              <w:spacing w:beforeAutospacing="0" w:after="150" w:afterAutospacing="0" w:line="300" w:lineRule="atLeast"/>
              <w:ind w:firstLine="645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宋体" w:eastAsia="宋体"/>
                <w:sz w:val="21"/>
                <w:szCs w:val="21"/>
              </w:rPr>
              <w:t>居住</w:t>
            </w:r>
          </w:p>
        </w:tc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widowControl/>
              <w:spacing w:beforeAutospacing="0" w:after="150" w:afterAutospacing="0" w:line="300" w:lineRule="atLeast"/>
              <w:ind w:right="210"/>
              <w:jc w:val="right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 xml:space="preserve">101.2 </w:t>
            </w:r>
          </w:p>
        </w:tc>
      </w:tr>
      <w:tr>
        <w:tblPrEx>
          <w:tblBorders>
            <w:top w:val="single" w:color="999999" w:sz="2" w:space="0"/>
            <w:left w:val="single" w:color="999999" w:sz="2" w:space="0"/>
            <w:bottom w:val="single" w:color="999999" w:sz="2" w:space="0"/>
            <w:right w:val="single" w:color="999999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widowControl/>
              <w:spacing w:beforeAutospacing="0" w:after="150" w:afterAutospacing="0" w:line="300" w:lineRule="atLeast"/>
              <w:ind w:firstLine="645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宋体" w:eastAsia="宋体"/>
                <w:sz w:val="21"/>
                <w:szCs w:val="21"/>
              </w:rPr>
              <w:t>生活用品及服务</w:t>
            </w:r>
          </w:p>
        </w:tc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widowControl/>
              <w:spacing w:beforeAutospacing="0" w:after="150" w:afterAutospacing="0" w:line="300" w:lineRule="atLeast"/>
              <w:ind w:right="210"/>
              <w:jc w:val="right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 xml:space="preserve">99.7 </w:t>
            </w:r>
          </w:p>
        </w:tc>
      </w:tr>
      <w:tr>
        <w:tblPrEx>
          <w:tblBorders>
            <w:top w:val="single" w:color="999999" w:sz="2" w:space="0"/>
            <w:left w:val="single" w:color="999999" w:sz="2" w:space="0"/>
            <w:bottom w:val="single" w:color="999999" w:sz="2" w:space="0"/>
            <w:right w:val="single" w:color="999999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widowControl/>
              <w:spacing w:beforeAutospacing="0" w:after="150" w:afterAutospacing="0" w:line="300" w:lineRule="atLeast"/>
              <w:ind w:firstLine="645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宋体" w:eastAsia="宋体"/>
                <w:sz w:val="21"/>
                <w:szCs w:val="21"/>
              </w:rPr>
              <w:t>交通和通信</w:t>
            </w:r>
          </w:p>
        </w:tc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widowControl/>
              <w:spacing w:beforeAutospacing="0" w:after="150" w:afterAutospacing="0" w:line="300" w:lineRule="atLeast"/>
              <w:ind w:right="210"/>
              <w:jc w:val="right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 xml:space="preserve">98.9 </w:t>
            </w:r>
          </w:p>
        </w:tc>
      </w:tr>
      <w:tr>
        <w:tblPrEx>
          <w:tblBorders>
            <w:top w:val="single" w:color="999999" w:sz="2" w:space="0"/>
            <w:left w:val="single" w:color="999999" w:sz="2" w:space="0"/>
            <w:bottom w:val="single" w:color="999999" w:sz="2" w:space="0"/>
            <w:right w:val="single" w:color="999999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widowControl/>
              <w:spacing w:beforeAutospacing="0" w:after="150" w:afterAutospacing="0" w:line="300" w:lineRule="atLeast"/>
              <w:ind w:firstLine="645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宋体" w:eastAsia="宋体"/>
                <w:sz w:val="21"/>
                <w:szCs w:val="21"/>
              </w:rPr>
              <w:t>教育文化和娱乐</w:t>
            </w:r>
          </w:p>
        </w:tc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widowControl/>
              <w:spacing w:beforeAutospacing="0" w:after="150" w:afterAutospacing="0" w:line="300" w:lineRule="atLeast"/>
              <w:ind w:right="210"/>
              <w:jc w:val="right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 xml:space="preserve">101.4 </w:t>
            </w:r>
          </w:p>
        </w:tc>
      </w:tr>
      <w:tr>
        <w:tblPrEx>
          <w:tblBorders>
            <w:top w:val="single" w:color="999999" w:sz="2" w:space="0"/>
            <w:left w:val="single" w:color="999999" w:sz="2" w:space="0"/>
            <w:bottom w:val="single" w:color="999999" w:sz="2" w:space="0"/>
            <w:right w:val="single" w:color="999999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widowControl/>
              <w:spacing w:beforeAutospacing="0" w:after="150" w:afterAutospacing="0" w:line="300" w:lineRule="atLeast"/>
              <w:ind w:firstLine="645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宋体" w:eastAsia="宋体"/>
                <w:sz w:val="21"/>
                <w:szCs w:val="21"/>
              </w:rPr>
              <w:t>医疗保健</w:t>
            </w:r>
          </w:p>
        </w:tc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widowControl/>
              <w:spacing w:beforeAutospacing="0" w:after="150" w:afterAutospacing="0" w:line="300" w:lineRule="atLeast"/>
              <w:ind w:right="210"/>
              <w:jc w:val="right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 xml:space="preserve">102.0 </w:t>
            </w:r>
          </w:p>
        </w:tc>
      </w:tr>
      <w:tr>
        <w:tblPrEx>
          <w:tblBorders>
            <w:top w:val="single" w:color="999999" w:sz="2" w:space="0"/>
            <w:left w:val="single" w:color="999999" w:sz="2" w:space="0"/>
            <w:bottom w:val="single" w:color="999999" w:sz="2" w:space="0"/>
            <w:right w:val="single" w:color="999999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5340" w:type="dxa"/>
            <w:tcBorders>
              <w:top w:val="nil"/>
              <w:left w:val="nil"/>
              <w:bottom w:val="single" w:color="000000" w:sz="6" w:space="0"/>
              <w:right w:val="nil"/>
            </w:tcBorders>
            <w:shd w:val="clear" w:color="auto" w:fill="auto"/>
            <w:vAlign w:val="center"/>
          </w:tcPr>
          <w:p>
            <w:pPr>
              <w:pStyle w:val="5"/>
              <w:widowControl/>
              <w:spacing w:beforeAutospacing="0" w:after="150" w:afterAutospacing="0" w:line="300" w:lineRule="atLeast"/>
              <w:ind w:firstLine="645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 xml:space="preserve"> </w:t>
            </w:r>
            <w:r>
              <w:rPr>
                <w:rFonts w:ascii="Times New Roman" w:hAnsi="宋体" w:eastAsia="宋体"/>
                <w:sz w:val="21"/>
                <w:szCs w:val="21"/>
              </w:rPr>
              <w:t>其他用品和服务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000000" w:sz="6" w:space="0"/>
              <w:right w:val="nil"/>
            </w:tcBorders>
            <w:shd w:val="clear" w:color="auto" w:fill="auto"/>
            <w:vAlign w:val="center"/>
          </w:tcPr>
          <w:p>
            <w:pPr>
              <w:pStyle w:val="5"/>
              <w:widowControl/>
              <w:wordWrap w:val="0"/>
              <w:spacing w:beforeAutospacing="0" w:after="150" w:afterAutospacing="0" w:line="300" w:lineRule="atLeast"/>
              <w:ind w:right="210"/>
              <w:jc w:val="right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 xml:space="preserve">102.8 </w:t>
            </w:r>
          </w:p>
        </w:tc>
      </w:tr>
    </w:tbl>
    <w:p>
      <w:pPr>
        <w:pStyle w:val="5"/>
        <w:widowControl/>
        <w:spacing w:beforeAutospacing="0" w:after="150" w:afterAutospacing="0" w:line="645" w:lineRule="atLeast"/>
        <w:ind w:firstLine="630"/>
        <w:rPr>
          <w:rFonts w:ascii="Times New Roman" w:hAnsi="Times New Roman"/>
        </w:rPr>
      </w:pPr>
      <w:r>
        <w:rPr>
          <w:rFonts w:hint="eastAsia" w:ascii="Times New Roman" w:hAnsi="宋体" w:eastAsia="宋体"/>
          <w:color w:val="333333"/>
        </w:rPr>
        <w:t>全年</w:t>
      </w:r>
      <w:r>
        <w:rPr>
          <w:rFonts w:ascii="Times New Roman" w:hAnsi="宋体" w:eastAsia="宋体"/>
          <w:color w:val="333333"/>
        </w:rPr>
        <w:t>全市新增城镇就业人员</w:t>
      </w:r>
      <w:r>
        <w:rPr>
          <w:rFonts w:ascii="Times New Roman" w:hAnsi="Times New Roman" w:eastAsia="宋体"/>
          <w:color w:val="333333"/>
        </w:rPr>
        <w:t>9.08</w:t>
      </w:r>
      <w:r>
        <w:rPr>
          <w:rFonts w:ascii="Times New Roman" w:hAnsi="宋体" w:eastAsia="宋体"/>
          <w:color w:val="333333"/>
        </w:rPr>
        <w:t>万人，新增农村劳动力转移就业人员</w:t>
      </w:r>
      <w:r>
        <w:rPr>
          <w:rFonts w:ascii="Times New Roman" w:hAnsi="Times New Roman" w:eastAsia="宋体"/>
          <w:color w:val="333333"/>
        </w:rPr>
        <w:t>8.</w:t>
      </w:r>
      <w:r>
        <w:rPr>
          <w:rFonts w:hint="eastAsia" w:ascii="Times New Roman" w:hAnsi="Times New Roman" w:eastAsia="宋体"/>
          <w:color w:val="333333"/>
          <w:lang w:val="en-US" w:eastAsia="zh-CN"/>
        </w:rPr>
        <w:t>98</w:t>
      </w:r>
      <w:r>
        <w:rPr>
          <w:rFonts w:ascii="Times New Roman" w:hAnsi="宋体" w:eastAsia="宋体"/>
          <w:color w:val="333333"/>
        </w:rPr>
        <w:t>万人，城镇失业人员实现再就业</w:t>
      </w:r>
      <w:r>
        <w:rPr>
          <w:rFonts w:ascii="Times New Roman" w:hAnsi="Times New Roman" w:eastAsia="宋体"/>
          <w:color w:val="333333"/>
        </w:rPr>
        <w:t>3.75</w:t>
      </w:r>
      <w:r>
        <w:rPr>
          <w:rFonts w:ascii="Times New Roman" w:hAnsi="宋体" w:eastAsia="宋体"/>
          <w:color w:val="333333"/>
        </w:rPr>
        <w:t>万人，城镇登记失业率</w:t>
      </w:r>
      <w:r>
        <w:rPr>
          <w:rFonts w:ascii="Times New Roman" w:hAnsi="Times New Roman" w:eastAsia="宋体"/>
          <w:color w:val="333333"/>
        </w:rPr>
        <w:t>3.68%</w:t>
      </w:r>
      <w:r>
        <w:rPr>
          <w:rFonts w:ascii="Times New Roman" w:hAnsi="宋体" w:eastAsia="宋体"/>
          <w:color w:val="333333"/>
        </w:rPr>
        <w:t>。</w:t>
      </w:r>
    </w:p>
    <w:p>
      <w:pPr>
        <w:pStyle w:val="5"/>
        <w:widowControl/>
        <w:spacing w:before="240" w:beforeAutospacing="0" w:after="240" w:afterAutospacing="0" w:line="645" w:lineRule="atLeast"/>
        <w:jc w:val="center"/>
        <w:rPr>
          <w:rFonts w:ascii="Times New Roman" w:hAnsi="Times New Roman"/>
          <w:b/>
        </w:rPr>
      </w:pPr>
      <w:r>
        <w:rPr>
          <w:rFonts w:ascii="Times New Roman" w:hAnsi="宋体" w:eastAsia="宋体"/>
          <w:b/>
          <w:color w:val="333333"/>
        </w:rPr>
        <w:t>二、农</w:t>
      </w:r>
      <w:r>
        <w:rPr>
          <w:rFonts w:ascii="Times New Roman" w:hAnsi="Times New Roman" w:eastAsia="宋体"/>
          <w:b/>
          <w:color w:val="333333"/>
        </w:rPr>
        <w:t>  </w:t>
      </w:r>
      <w:r>
        <w:rPr>
          <w:rFonts w:ascii="Times New Roman" w:hAnsi="宋体" w:eastAsia="宋体"/>
          <w:b/>
          <w:color w:val="333333"/>
        </w:rPr>
        <w:t>业</w:t>
      </w:r>
    </w:p>
    <w:p>
      <w:pPr>
        <w:spacing w:line="600" w:lineRule="exact"/>
        <w:ind w:firstLine="480" w:firstLineChars="200"/>
        <w:rPr>
          <w:rFonts w:ascii="Times New Roman" w:hAnsi="Times New Roman" w:cs="Times New Roman"/>
          <w:color w:val="C00000"/>
          <w:kern w:val="1"/>
          <w:sz w:val="24"/>
        </w:rPr>
      </w:pPr>
      <w:r>
        <w:rPr>
          <w:rFonts w:hint="eastAsia" w:ascii="Times New Roman" w:hAnsi="宋体" w:cs="Times New Roman"/>
          <w:kern w:val="1"/>
          <w:sz w:val="24"/>
        </w:rPr>
        <w:t>全年</w:t>
      </w:r>
      <w:r>
        <w:rPr>
          <w:rFonts w:ascii="Times New Roman" w:hAnsi="宋体" w:cs="Times New Roman"/>
          <w:kern w:val="1"/>
          <w:sz w:val="24"/>
        </w:rPr>
        <w:t>全市粮食播种面积</w:t>
      </w:r>
      <w:r>
        <w:rPr>
          <w:rFonts w:ascii="Times New Roman" w:hAnsi="Times New Roman" w:cs="Times New Roman"/>
          <w:kern w:val="1"/>
          <w:sz w:val="24"/>
        </w:rPr>
        <w:t>1867.99</w:t>
      </w:r>
      <w:r>
        <w:rPr>
          <w:rFonts w:ascii="Times New Roman" w:hAnsi="宋体" w:cs="Times New Roman"/>
          <w:kern w:val="1"/>
          <w:sz w:val="24"/>
        </w:rPr>
        <w:t>万亩，总产量</w:t>
      </w:r>
      <w:r>
        <w:rPr>
          <w:rFonts w:ascii="Times New Roman" w:hAnsi="Times New Roman" w:cs="Times New Roman"/>
          <w:kern w:val="1"/>
          <w:sz w:val="24"/>
        </w:rPr>
        <w:t>805.79</w:t>
      </w:r>
      <w:r>
        <w:rPr>
          <w:rFonts w:ascii="Times New Roman" w:hAnsi="宋体" w:cs="Times New Roman"/>
          <w:kern w:val="1"/>
          <w:sz w:val="24"/>
        </w:rPr>
        <w:t>万吨。其中：夏粮播种面积</w:t>
      </w:r>
      <w:r>
        <w:rPr>
          <w:rFonts w:ascii="Times New Roman" w:hAnsi="Times New Roman" w:cs="Times New Roman"/>
          <w:kern w:val="1"/>
          <w:sz w:val="24"/>
        </w:rPr>
        <w:t>1020.04</w:t>
      </w:r>
      <w:r>
        <w:rPr>
          <w:rFonts w:ascii="Times New Roman" w:hAnsi="宋体" w:cs="Times New Roman"/>
          <w:kern w:val="1"/>
          <w:sz w:val="24"/>
        </w:rPr>
        <w:t>万亩，总产量</w:t>
      </w:r>
      <w:r>
        <w:rPr>
          <w:rFonts w:ascii="Times New Roman" w:hAnsi="Times New Roman" w:cs="Times New Roman"/>
          <w:kern w:val="1"/>
          <w:sz w:val="24"/>
        </w:rPr>
        <w:t>507.15</w:t>
      </w:r>
      <w:r>
        <w:rPr>
          <w:rFonts w:ascii="Times New Roman" w:hAnsi="宋体" w:cs="Times New Roman"/>
          <w:kern w:val="1"/>
          <w:sz w:val="24"/>
        </w:rPr>
        <w:t>万吨。秋粮播种面积</w:t>
      </w:r>
      <w:r>
        <w:rPr>
          <w:rFonts w:ascii="Times New Roman" w:hAnsi="Times New Roman" w:cs="Times New Roman"/>
          <w:kern w:val="1"/>
          <w:sz w:val="24"/>
        </w:rPr>
        <w:t>847.95</w:t>
      </w:r>
      <w:r>
        <w:rPr>
          <w:rFonts w:ascii="Times New Roman" w:hAnsi="宋体" w:cs="Times New Roman"/>
          <w:kern w:val="1"/>
          <w:sz w:val="24"/>
        </w:rPr>
        <w:t>万亩，总产量</w:t>
      </w:r>
      <w:r>
        <w:rPr>
          <w:rFonts w:ascii="Times New Roman" w:hAnsi="Times New Roman" w:cs="Times New Roman"/>
          <w:kern w:val="1"/>
          <w:sz w:val="24"/>
        </w:rPr>
        <w:t>298.64</w:t>
      </w:r>
      <w:r>
        <w:rPr>
          <w:rFonts w:ascii="Times New Roman" w:hAnsi="宋体" w:cs="Times New Roman"/>
          <w:kern w:val="1"/>
          <w:sz w:val="24"/>
        </w:rPr>
        <w:t>万吨。</w:t>
      </w:r>
      <w:r>
        <w:rPr>
          <w:rFonts w:hint="eastAsia" w:ascii="Times New Roman" w:hAnsi="宋体" w:cs="Times New Roman"/>
          <w:kern w:val="1"/>
          <w:sz w:val="24"/>
        </w:rPr>
        <w:t>全年</w:t>
      </w:r>
      <w:r>
        <w:rPr>
          <w:rFonts w:ascii="Times New Roman" w:hAnsi="宋体" w:cs="Times New Roman"/>
          <w:kern w:val="1"/>
          <w:sz w:val="24"/>
        </w:rPr>
        <w:t>全市猪肉产量</w:t>
      </w:r>
      <w:r>
        <w:rPr>
          <w:rFonts w:ascii="Times New Roman" w:hAnsi="Times New Roman" w:cs="Times New Roman"/>
          <w:kern w:val="1"/>
          <w:sz w:val="24"/>
        </w:rPr>
        <w:t>48.73</w:t>
      </w:r>
      <w:r>
        <w:rPr>
          <w:rFonts w:ascii="Times New Roman" w:hAnsi="宋体" w:cs="Times New Roman"/>
          <w:kern w:val="1"/>
          <w:sz w:val="24"/>
        </w:rPr>
        <w:t>万吨，牛肉产量</w:t>
      </w:r>
      <w:r>
        <w:rPr>
          <w:rFonts w:ascii="Times New Roman" w:hAnsi="Times New Roman" w:cs="Times New Roman"/>
          <w:kern w:val="1"/>
          <w:sz w:val="24"/>
        </w:rPr>
        <w:t>6.08</w:t>
      </w:r>
      <w:r>
        <w:rPr>
          <w:rFonts w:ascii="Times New Roman" w:hAnsi="宋体" w:cs="Times New Roman"/>
          <w:kern w:val="1"/>
          <w:sz w:val="24"/>
        </w:rPr>
        <w:t>万吨，羊肉产量</w:t>
      </w:r>
      <w:r>
        <w:rPr>
          <w:rFonts w:ascii="Times New Roman" w:hAnsi="Times New Roman" w:cs="Times New Roman"/>
          <w:kern w:val="1"/>
          <w:sz w:val="24"/>
        </w:rPr>
        <w:t>4.03</w:t>
      </w:r>
      <w:r>
        <w:rPr>
          <w:rFonts w:ascii="Times New Roman" w:hAnsi="宋体" w:cs="Times New Roman"/>
          <w:kern w:val="1"/>
          <w:sz w:val="24"/>
        </w:rPr>
        <w:t>万吨，禽肉产量</w:t>
      </w:r>
      <w:r>
        <w:rPr>
          <w:rFonts w:ascii="Times New Roman" w:hAnsi="Times New Roman" w:cs="Times New Roman"/>
          <w:kern w:val="1"/>
          <w:sz w:val="24"/>
        </w:rPr>
        <w:t>14.73</w:t>
      </w:r>
      <w:r>
        <w:rPr>
          <w:rFonts w:ascii="Times New Roman" w:hAnsi="宋体" w:cs="Times New Roman"/>
          <w:kern w:val="1"/>
          <w:sz w:val="24"/>
        </w:rPr>
        <w:t>万吨。</w:t>
      </w:r>
    </w:p>
    <w:p>
      <w:pPr>
        <w:spacing w:line="600" w:lineRule="exact"/>
        <w:jc w:val="left"/>
        <w:rPr>
          <w:rFonts w:ascii="Times New Roman" w:hAnsi="Times New Roman" w:cs="Times New Roman"/>
          <w:b/>
          <w:kern w:val="1"/>
          <w:sz w:val="24"/>
        </w:rPr>
      </w:pPr>
      <w:r>
        <w:rPr>
          <w:rFonts w:ascii="Times New Roman" w:hAnsi="宋体" w:cs="Times New Roman"/>
          <w:b/>
          <w:kern w:val="1"/>
          <w:sz w:val="24"/>
        </w:rPr>
        <w:t>表</w:t>
      </w:r>
      <w:r>
        <w:rPr>
          <w:rFonts w:ascii="Times New Roman" w:hAnsi="Times New Roman" w:cs="Times New Roman"/>
          <w:b/>
          <w:kern w:val="1"/>
          <w:sz w:val="24"/>
        </w:rPr>
        <w:t>2</w:t>
      </w:r>
      <w:r>
        <w:rPr>
          <w:rFonts w:ascii="Times New Roman" w:hAnsi="宋体" w:cs="Times New Roman"/>
          <w:b/>
          <w:kern w:val="1"/>
          <w:sz w:val="24"/>
        </w:rPr>
        <w:t>：</w:t>
      </w:r>
      <w:r>
        <w:rPr>
          <w:rFonts w:ascii="Times New Roman" w:hAnsi="Times New Roman" w:cs="Times New Roman"/>
          <w:b/>
          <w:kern w:val="1"/>
          <w:sz w:val="24"/>
        </w:rPr>
        <w:t>2016</w:t>
      </w:r>
      <w:r>
        <w:rPr>
          <w:rFonts w:ascii="Times New Roman" w:hAnsi="宋体" w:cs="Times New Roman"/>
          <w:b/>
          <w:kern w:val="1"/>
          <w:sz w:val="24"/>
        </w:rPr>
        <w:t>年主要农产品产量</w:t>
      </w:r>
    </w:p>
    <w:tbl>
      <w:tblPr>
        <w:tblStyle w:val="8"/>
        <w:tblW w:w="7920" w:type="dxa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60"/>
        <w:gridCol w:w="2715"/>
        <w:gridCol w:w="2845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2360" w:type="dxa"/>
            <w:tcBorders>
              <w:top w:val="single" w:color="000000" w:sz="4" w:space="0"/>
              <w:left w:val="nil"/>
              <w:bottom w:val="nil"/>
              <w:right w:val="nil"/>
            </w:tcBorders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333333"/>
                <w:sz w:val="24"/>
              </w:rPr>
            </w:pPr>
            <w:r>
              <w:rPr>
                <w:rFonts w:ascii="Times New Roman" w:hAnsi="宋体" w:cs="Times New Roman"/>
                <w:bCs/>
                <w:color w:val="333333"/>
                <w:sz w:val="24"/>
              </w:rPr>
              <w:t>产品名称</w:t>
            </w:r>
          </w:p>
        </w:tc>
        <w:tc>
          <w:tcPr>
            <w:tcW w:w="2715" w:type="dxa"/>
            <w:tcBorders>
              <w:top w:val="single" w:color="000000" w:sz="4" w:space="0"/>
              <w:left w:val="nil"/>
              <w:bottom w:val="nil"/>
              <w:right w:val="nil"/>
            </w:tcBorders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333333"/>
                <w:sz w:val="24"/>
              </w:rPr>
            </w:pPr>
            <w:r>
              <w:rPr>
                <w:rFonts w:ascii="Times New Roman" w:hAnsi="宋体" w:cs="Times New Roman"/>
                <w:bCs/>
                <w:color w:val="333333"/>
                <w:sz w:val="24"/>
              </w:rPr>
              <w:t>产量（万吨）</w:t>
            </w:r>
          </w:p>
        </w:tc>
        <w:tc>
          <w:tcPr>
            <w:tcW w:w="2845" w:type="dxa"/>
            <w:tcBorders>
              <w:top w:val="single" w:color="000000" w:sz="4" w:space="0"/>
              <w:left w:val="nil"/>
              <w:bottom w:val="nil"/>
              <w:right w:val="nil"/>
            </w:tcBorders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333333"/>
                <w:sz w:val="24"/>
              </w:rPr>
            </w:pPr>
            <w:r>
              <w:rPr>
                <w:rFonts w:ascii="Times New Roman" w:hAnsi="宋体" w:cs="Times New Roman"/>
                <w:bCs/>
                <w:color w:val="333333"/>
                <w:sz w:val="24"/>
              </w:rPr>
              <w:t>比上年增长（</w:t>
            </w:r>
            <w:r>
              <w:rPr>
                <w:rFonts w:ascii="Times New Roman" w:hAnsi="Times New Roman" w:cs="Times New Roman"/>
                <w:bCs/>
                <w:color w:val="333333"/>
                <w:sz w:val="24"/>
              </w:rPr>
              <w:t>%</w:t>
            </w:r>
            <w:r>
              <w:rPr>
                <w:rFonts w:ascii="Times New Roman" w:hAnsi="宋体" w:cs="Times New Roman"/>
                <w:bCs/>
                <w:color w:val="333333"/>
                <w:sz w:val="24"/>
              </w:rPr>
              <w:t>）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atLeast"/>
        </w:trPr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333333"/>
                <w:sz w:val="24"/>
              </w:rPr>
            </w:pPr>
            <w:r>
              <w:rPr>
                <w:rFonts w:ascii="Times New Roman" w:hAnsi="宋体" w:cs="Times New Roman"/>
                <w:color w:val="333333"/>
                <w:sz w:val="24"/>
              </w:rPr>
              <w:t>粮食</w:t>
            </w:r>
          </w:p>
        </w:tc>
        <w:tc>
          <w:tcPr>
            <w:tcW w:w="27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805.79 </w:t>
            </w:r>
          </w:p>
        </w:tc>
        <w:tc>
          <w:tcPr>
            <w:tcW w:w="284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-2.9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333333"/>
                <w:sz w:val="24"/>
              </w:rPr>
            </w:pPr>
            <w:r>
              <w:rPr>
                <w:rFonts w:ascii="Times New Roman" w:hAnsi="Times New Roman" w:cs="Times New Roman"/>
                <w:color w:val="333333"/>
                <w:sz w:val="24"/>
              </w:rPr>
              <w:t xml:space="preserve">  </w:t>
            </w:r>
            <w:r>
              <w:rPr>
                <w:rFonts w:ascii="Times New Roman" w:hAnsi="宋体" w:cs="Times New Roman"/>
                <w:color w:val="333333"/>
                <w:sz w:val="24"/>
              </w:rPr>
              <w:t>夏粮</w:t>
            </w:r>
          </w:p>
        </w:tc>
        <w:tc>
          <w:tcPr>
            <w:tcW w:w="27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507.15 </w:t>
            </w:r>
          </w:p>
        </w:tc>
        <w:tc>
          <w:tcPr>
            <w:tcW w:w="284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-2.3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333333"/>
                <w:sz w:val="24"/>
              </w:rPr>
            </w:pPr>
            <w:r>
              <w:rPr>
                <w:rFonts w:ascii="Times New Roman" w:hAnsi="Times New Roman" w:cs="Times New Roman"/>
                <w:color w:val="333333"/>
                <w:sz w:val="24"/>
              </w:rPr>
              <w:t xml:space="preserve">  </w:t>
            </w:r>
            <w:r>
              <w:rPr>
                <w:rFonts w:ascii="Times New Roman" w:hAnsi="宋体" w:cs="Times New Roman"/>
                <w:color w:val="333333"/>
                <w:sz w:val="24"/>
              </w:rPr>
              <w:t>秋粮</w:t>
            </w:r>
          </w:p>
        </w:tc>
        <w:tc>
          <w:tcPr>
            <w:tcW w:w="27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298.64 </w:t>
            </w:r>
          </w:p>
        </w:tc>
        <w:tc>
          <w:tcPr>
            <w:tcW w:w="284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-3.8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333333"/>
                <w:sz w:val="24"/>
              </w:rPr>
            </w:pPr>
            <w:r>
              <w:rPr>
                <w:rFonts w:ascii="Times New Roman" w:hAnsi="宋体" w:cs="Times New Roman"/>
                <w:color w:val="333333"/>
                <w:sz w:val="24"/>
              </w:rPr>
              <w:t>油料</w:t>
            </w:r>
          </w:p>
        </w:tc>
        <w:tc>
          <w:tcPr>
            <w:tcW w:w="27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48.17 </w:t>
            </w:r>
          </w:p>
        </w:tc>
        <w:tc>
          <w:tcPr>
            <w:tcW w:w="284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3.4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333333"/>
                <w:sz w:val="24"/>
              </w:rPr>
            </w:pPr>
            <w:r>
              <w:rPr>
                <w:rFonts w:ascii="Times New Roman" w:hAnsi="Times New Roman" w:cs="Times New Roman"/>
                <w:color w:val="333333"/>
                <w:sz w:val="24"/>
              </w:rPr>
              <w:t xml:space="preserve">  #</w:t>
            </w:r>
            <w:r>
              <w:rPr>
                <w:rFonts w:ascii="Times New Roman" w:hAnsi="宋体" w:cs="Times New Roman"/>
                <w:color w:val="333333"/>
                <w:sz w:val="24"/>
              </w:rPr>
              <w:t>花生</w:t>
            </w:r>
          </w:p>
        </w:tc>
        <w:tc>
          <w:tcPr>
            <w:tcW w:w="27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38.35 </w:t>
            </w:r>
          </w:p>
        </w:tc>
        <w:tc>
          <w:tcPr>
            <w:tcW w:w="284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2.3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333333"/>
                <w:sz w:val="24"/>
              </w:rPr>
            </w:pPr>
            <w:r>
              <w:rPr>
                <w:rFonts w:ascii="Times New Roman" w:hAnsi="宋体" w:cs="Times New Roman"/>
                <w:color w:val="333333"/>
                <w:sz w:val="24"/>
              </w:rPr>
              <w:t>棉花</w:t>
            </w:r>
          </w:p>
        </w:tc>
        <w:tc>
          <w:tcPr>
            <w:tcW w:w="27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1.29 </w:t>
            </w:r>
          </w:p>
        </w:tc>
        <w:tc>
          <w:tcPr>
            <w:tcW w:w="284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-43.4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333333"/>
                <w:sz w:val="24"/>
              </w:rPr>
            </w:pPr>
            <w:r>
              <w:rPr>
                <w:rFonts w:ascii="Times New Roman" w:hAnsi="宋体" w:cs="Times New Roman"/>
                <w:color w:val="333333"/>
                <w:sz w:val="24"/>
              </w:rPr>
              <w:t>烤烟</w:t>
            </w:r>
          </w:p>
        </w:tc>
        <w:tc>
          <w:tcPr>
            <w:tcW w:w="27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1.12 </w:t>
            </w:r>
          </w:p>
        </w:tc>
        <w:tc>
          <w:tcPr>
            <w:tcW w:w="284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-28.1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0" w:hRule="atLeast"/>
        </w:trPr>
        <w:tc>
          <w:tcPr>
            <w:tcW w:w="2360" w:type="dxa"/>
            <w:tcBorders>
              <w:top w:val="nil"/>
              <w:left w:val="nil"/>
              <w:bottom w:val="single" w:color="000000" w:sz="4" w:space="0"/>
              <w:right w:val="nil"/>
            </w:tcBorders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333333"/>
                <w:sz w:val="24"/>
              </w:rPr>
            </w:pPr>
            <w:r>
              <w:rPr>
                <w:rFonts w:ascii="Times New Roman" w:hAnsi="宋体" w:cs="Times New Roman"/>
                <w:color w:val="333333"/>
                <w:sz w:val="24"/>
              </w:rPr>
              <w:t>蔬菜及食用菌</w:t>
            </w:r>
          </w:p>
        </w:tc>
        <w:tc>
          <w:tcPr>
            <w:tcW w:w="2715" w:type="dxa"/>
            <w:tcBorders>
              <w:top w:val="nil"/>
              <w:left w:val="nil"/>
              <w:bottom w:val="single" w:color="000000" w:sz="4" w:space="0"/>
              <w:right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1003.27 </w:t>
            </w:r>
          </w:p>
        </w:tc>
        <w:tc>
          <w:tcPr>
            <w:tcW w:w="2845" w:type="dxa"/>
            <w:tcBorders>
              <w:top w:val="nil"/>
              <w:left w:val="nil"/>
              <w:bottom w:val="single" w:color="000000" w:sz="4" w:space="0"/>
              <w:right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2.4 </w:t>
            </w:r>
          </w:p>
        </w:tc>
      </w:tr>
    </w:tbl>
    <w:p>
      <w:pPr>
        <w:widowControl/>
        <w:spacing w:line="600" w:lineRule="exact"/>
        <w:ind w:firstLine="480" w:firstLineChars="200"/>
        <w:rPr>
          <w:rFonts w:ascii="Times New Roman" w:hAnsi="Times New Roman" w:cs="Times New Roman"/>
          <w:b/>
          <w:bCs/>
          <w:color w:val="333333"/>
          <w:sz w:val="24"/>
        </w:rPr>
      </w:pPr>
      <w:r>
        <w:rPr>
          <w:rFonts w:ascii="Times New Roman" w:hAnsi="宋体" w:cs="Times New Roman"/>
          <w:color w:val="333333"/>
          <w:sz w:val="24"/>
        </w:rPr>
        <w:t>年末新增有效灌溉面积</w:t>
      </w:r>
      <w:r>
        <w:rPr>
          <w:rFonts w:ascii="Times New Roman" w:hAnsi="Times New Roman" w:cs="Times New Roman"/>
          <w:color w:val="333333"/>
          <w:sz w:val="24"/>
        </w:rPr>
        <w:t>92.45</w:t>
      </w:r>
      <w:r>
        <w:rPr>
          <w:rFonts w:ascii="Times New Roman" w:hAnsi="宋体" w:cs="Times New Roman"/>
          <w:color w:val="333333"/>
          <w:sz w:val="24"/>
        </w:rPr>
        <w:t>万亩，新增旱涝保收田面积</w:t>
      </w:r>
      <w:r>
        <w:rPr>
          <w:rFonts w:ascii="Times New Roman" w:hAnsi="Times New Roman" w:cs="Times New Roman"/>
          <w:color w:val="333333"/>
          <w:sz w:val="24"/>
        </w:rPr>
        <w:t>40.37</w:t>
      </w:r>
      <w:r>
        <w:rPr>
          <w:rFonts w:ascii="Times New Roman" w:hAnsi="宋体" w:cs="Times New Roman"/>
          <w:color w:val="333333"/>
          <w:sz w:val="24"/>
        </w:rPr>
        <w:t>万亩，新增节水灌溉面积</w:t>
      </w:r>
      <w:r>
        <w:rPr>
          <w:rFonts w:ascii="Times New Roman" w:hAnsi="Times New Roman" w:cs="Times New Roman"/>
          <w:color w:val="333333"/>
          <w:sz w:val="24"/>
        </w:rPr>
        <w:t>72.65</w:t>
      </w:r>
      <w:r>
        <w:rPr>
          <w:rFonts w:ascii="Times New Roman" w:hAnsi="宋体" w:cs="Times New Roman"/>
          <w:color w:val="333333"/>
          <w:sz w:val="24"/>
        </w:rPr>
        <w:t>万亩。年末农业机械总动力</w:t>
      </w:r>
      <w:r>
        <w:rPr>
          <w:rFonts w:ascii="Times New Roman" w:hAnsi="Times New Roman" w:cs="Times New Roman"/>
          <w:color w:val="333333"/>
          <w:sz w:val="24"/>
        </w:rPr>
        <w:t>826</w:t>
      </w:r>
      <w:r>
        <w:rPr>
          <w:rFonts w:ascii="Times New Roman" w:hAnsi="宋体" w:cs="Times New Roman"/>
          <w:color w:val="333333"/>
          <w:sz w:val="24"/>
        </w:rPr>
        <w:t>万千瓦；农用拖拉机</w:t>
      </w:r>
      <w:r>
        <w:rPr>
          <w:rFonts w:ascii="Times New Roman" w:hAnsi="Times New Roman" w:cs="Times New Roman"/>
          <w:color w:val="333333"/>
          <w:sz w:val="24"/>
        </w:rPr>
        <w:t>33</w:t>
      </w:r>
      <w:r>
        <w:rPr>
          <w:rFonts w:ascii="Times New Roman" w:hAnsi="宋体" w:cs="Times New Roman"/>
          <w:color w:val="333333"/>
          <w:sz w:val="24"/>
        </w:rPr>
        <w:t>万台；农村用电量</w:t>
      </w:r>
      <w:r>
        <w:rPr>
          <w:rFonts w:ascii="Times New Roman" w:hAnsi="Times New Roman" w:cs="Times New Roman"/>
          <w:color w:val="333333"/>
          <w:sz w:val="24"/>
        </w:rPr>
        <w:t>277587.76</w:t>
      </w:r>
      <w:r>
        <w:rPr>
          <w:rFonts w:ascii="Times New Roman" w:hAnsi="宋体" w:cs="Times New Roman"/>
          <w:color w:val="333333"/>
          <w:sz w:val="24"/>
        </w:rPr>
        <w:t>万千瓦时。完成造林</w:t>
      </w:r>
      <w:r>
        <w:rPr>
          <w:rFonts w:ascii="Times New Roman" w:hAnsi="Times New Roman" w:cs="Times New Roman"/>
          <w:color w:val="333333"/>
          <w:sz w:val="24"/>
        </w:rPr>
        <w:t>11.85</w:t>
      </w:r>
      <w:r>
        <w:rPr>
          <w:rFonts w:ascii="Times New Roman" w:hAnsi="宋体" w:cs="Times New Roman"/>
          <w:color w:val="333333"/>
          <w:sz w:val="24"/>
        </w:rPr>
        <w:t>万亩。</w:t>
      </w:r>
    </w:p>
    <w:p>
      <w:pPr>
        <w:widowControl/>
        <w:spacing w:line="600" w:lineRule="exact"/>
        <w:jc w:val="center"/>
        <w:rPr>
          <w:rFonts w:ascii="Times New Roman" w:hAnsi="Times New Roman" w:cs="Times New Roman"/>
          <w:kern w:val="1"/>
          <w:sz w:val="24"/>
        </w:rPr>
      </w:pPr>
      <w:r>
        <w:rPr>
          <w:rFonts w:ascii="Times New Roman" w:hAnsi="宋体" w:cs="Times New Roman"/>
          <w:b/>
          <w:bCs/>
          <w:color w:val="333333"/>
          <w:sz w:val="24"/>
        </w:rPr>
        <w:t>三、工业和建筑业</w:t>
      </w:r>
    </w:p>
    <w:p>
      <w:pPr>
        <w:spacing w:line="600" w:lineRule="exact"/>
        <w:ind w:firstLine="480" w:firstLineChars="200"/>
        <w:rPr>
          <w:rFonts w:ascii="Times New Roman" w:hAnsi="Times New Roman" w:cs="Times New Roman"/>
          <w:kern w:val="1"/>
          <w:sz w:val="24"/>
        </w:rPr>
      </w:pPr>
      <w:r>
        <w:rPr>
          <w:rFonts w:hint="eastAsia" w:ascii="Times New Roman" w:hAnsi="宋体" w:cs="Times New Roman"/>
          <w:kern w:val="1"/>
          <w:sz w:val="24"/>
        </w:rPr>
        <w:t>全年</w:t>
      </w:r>
      <w:r>
        <w:rPr>
          <w:rFonts w:ascii="Times New Roman" w:hAnsi="宋体" w:cs="Times New Roman"/>
          <w:kern w:val="1"/>
          <w:sz w:val="24"/>
        </w:rPr>
        <w:t>全市规模以上工业实现增加值</w:t>
      </w:r>
      <w:r>
        <w:rPr>
          <w:rFonts w:ascii="Times New Roman" w:hAnsi="Times New Roman" w:cs="Times New Roman"/>
          <w:kern w:val="1"/>
          <w:sz w:val="24"/>
        </w:rPr>
        <w:t>1000.49</w:t>
      </w:r>
      <w:r>
        <w:rPr>
          <w:rFonts w:ascii="Times New Roman" w:hAnsi="宋体" w:cs="Times New Roman"/>
          <w:kern w:val="1"/>
          <w:sz w:val="24"/>
        </w:rPr>
        <w:t>亿元，同比增长</w:t>
      </w:r>
      <w:r>
        <w:rPr>
          <w:rFonts w:ascii="Times New Roman" w:hAnsi="Times New Roman" w:cs="Times New Roman"/>
          <w:kern w:val="1"/>
          <w:sz w:val="24"/>
        </w:rPr>
        <w:t>9.8%</w:t>
      </w:r>
      <w:r>
        <w:rPr>
          <w:rFonts w:ascii="Times New Roman" w:hAnsi="宋体" w:cs="Times New Roman"/>
          <w:kern w:val="1"/>
          <w:sz w:val="24"/>
        </w:rPr>
        <w:t>。</w:t>
      </w:r>
    </w:p>
    <w:p>
      <w:pPr>
        <w:spacing w:line="600" w:lineRule="exact"/>
        <w:ind w:firstLine="480" w:firstLineChars="200"/>
        <w:rPr>
          <w:rFonts w:ascii="Times New Roman" w:hAnsi="Times New Roman" w:cs="Times New Roman"/>
          <w:kern w:val="1"/>
          <w:sz w:val="24"/>
        </w:rPr>
      </w:pPr>
      <w:r>
        <w:rPr>
          <w:rFonts w:ascii="Times New Roman" w:hAnsi="宋体" w:cs="Times New Roman"/>
          <w:kern w:val="1"/>
          <w:sz w:val="24"/>
        </w:rPr>
        <w:t>在规模以上工业中，重工业实现增加值</w:t>
      </w:r>
      <w:r>
        <w:rPr>
          <w:rFonts w:ascii="Times New Roman" w:hAnsi="Times New Roman" w:cs="Times New Roman"/>
          <w:kern w:val="1"/>
          <w:sz w:val="24"/>
        </w:rPr>
        <w:t>324.67</w:t>
      </w:r>
      <w:r>
        <w:rPr>
          <w:rFonts w:ascii="Times New Roman" w:hAnsi="宋体" w:cs="Times New Roman"/>
          <w:kern w:val="1"/>
          <w:sz w:val="24"/>
        </w:rPr>
        <w:t>亿元，同比增长</w:t>
      </w:r>
      <w:r>
        <w:rPr>
          <w:rFonts w:ascii="Times New Roman" w:hAnsi="Times New Roman" w:cs="Times New Roman"/>
          <w:kern w:val="1"/>
          <w:sz w:val="24"/>
        </w:rPr>
        <w:t>11.6%</w:t>
      </w:r>
      <w:r>
        <w:rPr>
          <w:rFonts w:ascii="Times New Roman" w:hAnsi="宋体" w:cs="Times New Roman"/>
          <w:kern w:val="1"/>
          <w:sz w:val="24"/>
        </w:rPr>
        <w:t>；轻工业实现增加值</w:t>
      </w:r>
      <w:r>
        <w:rPr>
          <w:rFonts w:ascii="Times New Roman" w:hAnsi="Times New Roman" w:cs="Times New Roman"/>
          <w:kern w:val="1"/>
          <w:sz w:val="24"/>
        </w:rPr>
        <w:t>675.82</w:t>
      </w:r>
      <w:r>
        <w:rPr>
          <w:rFonts w:ascii="Times New Roman" w:hAnsi="宋体" w:cs="Times New Roman"/>
          <w:kern w:val="1"/>
          <w:sz w:val="24"/>
        </w:rPr>
        <w:t>亿元，同比增长</w:t>
      </w:r>
      <w:r>
        <w:rPr>
          <w:rFonts w:ascii="Times New Roman" w:hAnsi="Times New Roman" w:cs="Times New Roman"/>
          <w:kern w:val="1"/>
          <w:sz w:val="24"/>
        </w:rPr>
        <w:t>8.9%</w:t>
      </w:r>
      <w:r>
        <w:rPr>
          <w:rFonts w:ascii="Times New Roman" w:hAnsi="宋体" w:cs="Times New Roman"/>
          <w:kern w:val="1"/>
          <w:sz w:val="24"/>
        </w:rPr>
        <w:t>。从六大主导产业看，全市食品、纺织服装、医药化工、装备制造、电器电缆和新型建材等六大支柱产业实现工业增加值</w:t>
      </w:r>
      <w:r>
        <w:rPr>
          <w:rFonts w:ascii="Times New Roman" w:hAnsi="Times New Roman" w:cs="Times New Roman"/>
          <w:kern w:val="1"/>
          <w:sz w:val="24"/>
        </w:rPr>
        <w:t>828.49</w:t>
      </w:r>
      <w:r>
        <w:rPr>
          <w:rFonts w:ascii="Times New Roman" w:hAnsi="宋体" w:cs="Times New Roman"/>
          <w:kern w:val="1"/>
          <w:sz w:val="24"/>
        </w:rPr>
        <w:t>亿元，占全市规模以上工业增加值的</w:t>
      </w:r>
      <w:r>
        <w:rPr>
          <w:rFonts w:ascii="Times New Roman" w:hAnsi="Times New Roman" w:cs="Times New Roman"/>
          <w:kern w:val="1"/>
          <w:sz w:val="24"/>
        </w:rPr>
        <w:t>82.8%</w:t>
      </w:r>
      <w:r>
        <w:rPr>
          <w:rFonts w:ascii="Times New Roman" w:hAnsi="宋体" w:cs="Times New Roman"/>
          <w:kern w:val="1"/>
          <w:sz w:val="24"/>
        </w:rPr>
        <w:t>，同比增长</w:t>
      </w:r>
      <w:r>
        <w:rPr>
          <w:rFonts w:ascii="Times New Roman" w:hAnsi="Times New Roman" w:cs="Times New Roman"/>
          <w:kern w:val="1"/>
          <w:sz w:val="24"/>
        </w:rPr>
        <w:t>12.3%</w:t>
      </w:r>
      <w:r>
        <w:rPr>
          <w:rFonts w:ascii="Times New Roman" w:hAnsi="宋体" w:cs="Times New Roman"/>
          <w:kern w:val="1"/>
          <w:sz w:val="24"/>
        </w:rPr>
        <w:t>，高于全市规模以上工业</w:t>
      </w:r>
      <w:r>
        <w:rPr>
          <w:rFonts w:hint="eastAsia" w:ascii="Times New Roman" w:hAnsi="宋体" w:cs="Times New Roman"/>
          <w:kern w:val="1"/>
          <w:sz w:val="24"/>
        </w:rPr>
        <w:t>增加值</w:t>
      </w:r>
      <w:r>
        <w:rPr>
          <w:rFonts w:ascii="Times New Roman" w:hAnsi="宋体" w:cs="Times New Roman"/>
          <w:kern w:val="1"/>
          <w:sz w:val="24"/>
        </w:rPr>
        <w:t>增速</w:t>
      </w:r>
      <w:r>
        <w:rPr>
          <w:rFonts w:ascii="Times New Roman" w:hAnsi="Times New Roman" w:cs="Times New Roman"/>
          <w:kern w:val="1"/>
          <w:sz w:val="24"/>
        </w:rPr>
        <w:t>2.5</w:t>
      </w:r>
      <w:r>
        <w:rPr>
          <w:rFonts w:ascii="Times New Roman" w:hAnsi="宋体" w:cs="Times New Roman"/>
          <w:kern w:val="1"/>
          <w:sz w:val="24"/>
        </w:rPr>
        <w:t>个百分点，对全市工业的贡献率达</w:t>
      </w:r>
      <w:r>
        <w:rPr>
          <w:rFonts w:ascii="Times New Roman" w:hAnsi="Times New Roman" w:cs="Times New Roman"/>
          <w:kern w:val="1"/>
          <w:sz w:val="24"/>
        </w:rPr>
        <w:t>102.6%</w:t>
      </w:r>
      <w:r>
        <w:rPr>
          <w:rFonts w:ascii="Times New Roman" w:hAnsi="宋体" w:cs="Times New Roman"/>
          <w:kern w:val="1"/>
          <w:sz w:val="24"/>
        </w:rPr>
        <w:t>，拉动全市工业增长</w:t>
      </w:r>
      <w:r>
        <w:rPr>
          <w:rFonts w:ascii="Times New Roman" w:hAnsi="Times New Roman" w:cs="Times New Roman"/>
          <w:kern w:val="1"/>
          <w:sz w:val="24"/>
        </w:rPr>
        <w:t>10.1</w:t>
      </w:r>
      <w:r>
        <w:rPr>
          <w:rFonts w:ascii="Times New Roman" w:hAnsi="宋体" w:cs="Times New Roman"/>
          <w:kern w:val="1"/>
          <w:sz w:val="24"/>
        </w:rPr>
        <w:t>个百分点。其中：食品产业增长</w:t>
      </w:r>
      <w:r>
        <w:rPr>
          <w:rFonts w:ascii="Times New Roman" w:hAnsi="Times New Roman" w:cs="Times New Roman"/>
          <w:kern w:val="1"/>
          <w:sz w:val="24"/>
        </w:rPr>
        <w:t>14.5%</w:t>
      </w:r>
      <w:r>
        <w:rPr>
          <w:rFonts w:ascii="Times New Roman" w:hAnsi="宋体" w:cs="Times New Roman"/>
          <w:kern w:val="1"/>
          <w:sz w:val="24"/>
        </w:rPr>
        <w:t>、纺织服装产业增长</w:t>
      </w:r>
      <w:r>
        <w:rPr>
          <w:rFonts w:ascii="Times New Roman" w:hAnsi="Times New Roman" w:cs="Times New Roman"/>
          <w:kern w:val="1"/>
          <w:sz w:val="24"/>
        </w:rPr>
        <w:t>6.3%</w:t>
      </w:r>
      <w:r>
        <w:rPr>
          <w:rFonts w:ascii="Times New Roman" w:hAnsi="宋体" w:cs="Times New Roman"/>
          <w:kern w:val="1"/>
          <w:sz w:val="24"/>
        </w:rPr>
        <w:t>、医药化工产业增长</w:t>
      </w:r>
      <w:r>
        <w:rPr>
          <w:rFonts w:ascii="Times New Roman" w:hAnsi="Times New Roman" w:cs="Times New Roman"/>
          <w:kern w:val="1"/>
          <w:sz w:val="24"/>
        </w:rPr>
        <w:t>16.4%</w:t>
      </w:r>
      <w:r>
        <w:rPr>
          <w:rFonts w:ascii="Times New Roman" w:hAnsi="宋体" w:cs="Times New Roman"/>
          <w:kern w:val="1"/>
          <w:sz w:val="24"/>
        </w:rPr>
        <w:t>、装备制造产业增长</w:t>
      </w:r>
      <w:r>
        <w:rPr>
          <w:rFonts w:ascii="Times New Roman" w:hAnsi="Times New Roman" w:cs="Times New Roman"/>
          <w:kern w:val="1"/>
          <w:sz w:val="24"/>
        </w:rPr>
        <w:t>12.2%</w:t>
      </w:r>
      <w:r>
        <w:rPr>
          <w:rFonts w:ascii="Times New Roman" w:hAnsi="宋体" w:cs="Times New Roman"/>
          <w:kern w:val="1"/>
          <w:sz w:val="24"/>
        </w:rPr>
        <w:t>、电器电缆产业增长</w:t>
      </w:r>
      <w:r>
        <w:rPr>
          <w:rFonts w:ascii="Times New Roman" w:hAnsi="Times New Roman" w:cs="Times New Roman"/>
          <w:kern w:val="1"/>
          <w:sz w:val="24"/>
        </w:rPr>
        <w:t>18.8%</w:t>
      </w:r>
      <w:r>
        <w:rPr>
          <w:rFonts w:ascii="Times New Roman" w:hAnsi="宋体" w:cs="Times New Roman"/>
          <w:kern w:val="1"/>
          <w:sz w:val="24"/>
        </w:rPr>
        <w:t>、新型建材产业增长</w:t>
      </w:r>
      <w:r>
        <w:rPr>
          <w:rFonts w:ascii="Times New Roman" w:hAnsi="Times New Roman" w:cs="Times New Roman"/>
          <w:kern w:val="1"/>
          <w:sz w:val="24"/>
        </w:rPr>
        <w:t>6.3%</w:t>
      </w:r>
      <w:r>
        <w:rPr>
          <w:rFonts w:ascii="Times New Roman" w:hAnsi="宋体" w:cs="Times New Roman"/>
          <w:kern w:val="1"/>
          <w:sz w:val="24"/>
        </w:rPr>
        <w:t>。</w:t>
      </w:r>
    </w:p>
    <w:p/>
    <w:p>
      <w:pPr>
        <w:rPr>
          <w:rFonts w:ascii="Times New Roman" w:hAnsi="宋体" w:eastAsia="宋体" w:cs="Times New Roman"/>
          <w:b/>
          <w:color w:val="333333"/>
          <w:sz w:val="24"/>
        </w:rPr>
      </w:pPr>
      <w:r>
        <w:rPr>
          <w:rFonts w:ascii="Times New Roman" w:hAnsi="宋体" w:eastAsia="宋体" w:cs="Times New Roman"/>
          <w:b/>
          <w:color w:val="333333"/>
          <w:sz w:val="24"/>
        </w:rPr>
        <w:t>图3：2011-2016年规模以上工业增加值增速</w:t>
      </w:r>
    </w:p>
    <w:p>
      <w:pPr>
        <w:rPr>
          <w:rFonts w:ascii="Times New Roman" w:hAnsi="Times New Roman" w:cs="Times New Roman"/>
          <w:kern w:val="1"/>
          <w:sz w:val="24"/>
        </w:rPr>
      </w:pPr>
    </w:p>
    <w:p>
      <w:pPr>
        <w:jc w:val="center"/>
        <w:rPr>
          <w:rFonts w:ascii="Times New Roman" w:hAnsi="Times New Roman" w:cs="Times New Roman"/>
          <w:kern w:val="1"/>
          <w:sz w:val="24"/>
        </w:rPr>
      </w:pPr>
      <w:r>
        <w:rPr>
          <w:rFonts w:ascii="Times New Roman" w:hAnsi="Times New Roman" w:cs="Times New Roman"/>
          <w:kern w:val="1"/>
          <w:sz w:val="24"/>
        </w:rPr>
        <w:drawing>
          <wp:inline distT="0" distB="0" distL="114300" distR="114300">
            <wp:extent cx="5271135" cy="3035935"/>
            <wp:effectExtent l="0" t="0" r="5715" b="12065"/>
            <wp:docPr id="5" name="图片 5" descr="QQ图片201703020917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QQ图片20170302091757"/>
                    <pic:cNvPicPr>
                      <a:picLocks noChangeAspect="1"/>
                    </pic:cNvPicPr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3035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/>
    <w:p>
      <w:pPr>
        <w:spacing w:line="600" w:lineRule="exact"/>
        <w:jc w:val="left"/>
        <w:rPr>
          <w:rFonts w:ascii="Times New Roman" w:hAnsi="宋体" w:cs="Times New Roman"/>
          <w:b/>
          <w:kern w:val="1"/>
          <w:sz w:val="24"/>
        </w:rPr>
      </w:pPr>
      <w:r>
        <w:rPr>
          <w:rFonts w:ascii="Times New Roman" w:hAnsi="宋体" w:cs="Times New Roman"/>
          <w:b/>
          <w:kern w:val="1"/>
          <w:sz w:val="24"/>
        </w:rPr>
        <w:t>表3：2016年规模以上工业增加值</w:t>
      </w:r>
    </w:p>
    <w:tbl>
      <w:tblPr>
        <w:tblStyle w:val="8"/>
        <w:tblW w:w="7935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28"/>
        <w:gridCol w:w="2172"/>
        <w:gridCol w:w="2335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</w:trPr>
        <w:tc>
          <w:tcPr>
            <w:tcW w:w="3428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00" w:lineRule="exact"/>
              <w:ind w:firstLine="482" w:firstLineChars="200"/>
              <w:rPr>
                <w:rFonts w:ascii="Times New Roman" w:hAnsi="Times New Roman" w:cs="Times New Roman"/>
                <w:color w:val="333333"/>
                <w:sz w:val="24"/>
              </w:rPr>
            </w:pPr>
            <w:r>
              <w:rPr>
                <w:rFonts w:ascii="Times New Roman" w:hAnsi="宋体" w:cs="Times New Roman"/>
                <w:b/>
                <w:bCs/>
                <w:color w:val="333333"/>
                <w:sz w:val="24"/>
              </w:rPr>
              <w:t>指标</w:t>
            </w:r>
          </w:p>
        </w:tc>
        <w:tc>
          <w:tcPr>
            <w:tcW w:w="2172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00" w:lineRule="exact"/>
              <w:rPr>
                <w:rFonts w:ascii="Times New Roman" w:hAnsi="Times New Roman" w:cs="Times New Roman"/>
                <w:color w:val="333333"/>
                <w:sz w:val="24"/>
              </w:rPr>
            </w:pPr>
            <w:r>
              <w:rPr>
                <w:rFonts w:ascii="Times New Roman" w:hAnsi="宋体" w:cs="Times New Roman"/>
                <w:b/>
                <w:bCs/>
                <w:color w:val="333333"/>
                <w:sz w:val="24"/>
              </w:rPr>
              <w:t>增加值（亿元）</w:t>
            </w:r>
          </w:p>
        </w:tc>
        <w:tc>
          <w:tcPr>
            <w:tcW w:w="2335" w:type="dxa"/>
            <w:tcBorders>
              <w:top w:val="single" w:color="000000" w:sz="4" w:space="0"/>
              <w:bottom w:val="single" w:color="000000" w:sz="4" w:space="0"/>
            </w:tcBorders>
            <w:vAlign w:val="center"/>
          </w:tcPr>
          <w:p>
            <w:pPr>
              <w:widowControl/>
              <w:spacing w:line="400" w:lineRule="exact"/>
              <w:ind w:firstLine="482" w:firstLineChars="200"/>
              <w:rPr>
                <w:rFonts w:ascii="Times New Roman" w:hAnsi="Times New Roman" w:cs="Times New Roman"/>
                <w:color w:val="333333"/>
                <w:sz w:val="24"/>
              </w:rPr>
            </w:pPr>
            <w:r>
              <w:rPr>
                <w:rFonts w:ascii="Times New Roman" w:hAnsi="宋体" w:cs="Times New Roman"/>
                <w:b/>
                <w:bCs/>
                <w:color w:val="333333"/>
                <w:sz w:val="24"/>
              </w:rPr>
              <w:t>比上年增长（</w:t>
            </w:r>
            <w:r>
              <w:rPr>
                <w:rFonts w:ascii="Times New Roman" w:hAnsi="Times New Roman" w:cs="Times New Roman"/>
                <w:b/>
                <w:bCs/>
                <w:color w:val="333333"/>
                <w:sz w:val="24"/>
              </w:rPr>
              <w:t>%</w:t>
            </w:r>
            <w:r>
              <w:rPr>
                <w:rFonts w:ascii="Times New Roman" w:hAnsi="宋体" w:cs="Times New Roman"/>
                <w:b/>
                <w:bCs/>
                <w:color w:val="333333"/>
                <w:sz w:val="24"/>
              </w:rPr>
              <w:t>）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</w:trPr>
        <w:tc>
          <w:tcPr>
            <w:tcW w:w="3428" w:type="dxa"/>
            <w:tcBorders>
              <w:top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00" w:lineRule="exact"/>
              <w:ind w:firstLine="420" w:firstLineChars="200"/>
              <w:rPr>
                <w:rFonts w:ascii="Times New Roman" w:hAnsi="Times New Roman" w:cs="Times New Roman"/>
                <w:color w:val="333333"/>
                <w:szCs w:val="21"/>
              </w:rPr>
            </w:pPr>
            <w:r>
              <w:rPr>
                <w:rFonts w:ascii="Times New Roman" w:hAnsi="宋体" w:cs="Times New Roman"/>
                <w:color w:val="333333"/>
                <w:szCs w:val="21"/>
              </w:rPr>
              <w:t>规模以上工业增加值</w:t>
            </w:r>
          </w:p>
        </w:tc>
        <w:tc>
          <w:tcPr>
            <w:tcW w:w="2172" w:type="dxa"/>
            <w:tcBorders>
              <w:top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1000.49</w:t>
            </w:r>
          </w:p>
        </w:tc>
        <w:tc>
          <w:tcPr>
            <w:tcW w:w="2335" w:type="dxa"/>
            <w:tcBorders>
              <w:top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9.8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</w:trPr>
        <w:tc>
          <w:tcPr>
            <w:tcW w:w="3428" w:type="dxa"/>
            <w:tcBorders>
              <w:right w:val="single" w:color="000000" w:sz="4" w:space="0"/>
            </w:tcBorders>
            <w:vAlign w:val="center"/>
          </w:tcPr>
          <w:p>
            <w:pPr>
              <w:widowControl/>
              <w:spacing w:line="400" w:lineRule="exact"/>
              <w:ind w:firstLine="420" w:firstLineChars="200"/>
              <w:rPr>
                <w:rFonts w:ascii="Times New Roman" w:hAnsi="Times New Roman" w:cs="Times New Roman"/>
                <w:color w:val="333333"/>
                <w:szCs w:val="21"/>
              </w:rPr>
            </w:pPr>
            <w:r>
              <w:rPr>
                <w:rFonts w:ascii="Times New Roman" w:hAnsi="Times New Roman" w:cs="Times New Roman"/>
                <w:color w:val="333333"/>
                <w:szCs w:val="21"/>
              </w:rPr>
              <w:t xml:space="preserve">   #</w:t>
            </w:r>
            <w:r>
              <w:rPr>
                <w:rFonts w:ascii="Times New Roman" w:hAnsi="宋体" w:cs="Times New Roman"/>
                <w:color w:val="333333"/>
                <w:szCs w:val="21"/>
              </w:rPr>
              <w:t>轻工业</w:t>
            </w:r>
          </w:p>
        </w:tc>
        <w:tc>
          <w:tcPr>
            <w:tcW w:w="2172" w:type="dxa"/>
            <w:tcBorders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675.82</w:t>
            </w:r>
          </w:p>
        </w:tc>
        <w:tc>
          <w:tcPr>
            <w:tcW w:w="2335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 xml:space="preserve">8.9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</w:trPr>
        <w:tc>
          <w:tcPr>
            <w:tcW w:w="3428" w:type="dxa"/>
            <w:tcBorders>
              <w:right w:val="single" w:color="000000" w:sz="4" w:space="0"/>
            </w:tcBorders>
            <w:vAlign w:val="center"/>
          </w:tcPr>
          <w:p>
            <w:pPr>
              <w:widowControl/>
              <w:spacing w:line="400" w:lineRule="exact"/>
              <w:ind w:firstLine="420" w:firstLineChars="200"/>
              <w:rPr>
                <w:rFonts w:ascii="Times New Roman" w:hAnsi="Times New Roman" w:cs="Times New Roman"/>
                <w:color w:val="333333"/>
                <w:szCs w:val="21"/>
              </w:rPr>
            </w:pPr>
            <w:r>
              <w:rPr>
                <w:rFonts w:ascii="Times New Roman" w:hAnsi="Times New Roman" w:cs="Times New Roman"/>
                <w:color w:val="333333"/>
                <w:szCs w:val="21"/>
              </w:rPr>
              <w:t xml:space="preserve">    </w:t>
            </w:r>
            <w:r>
              <w:rPr>
                <w:rFonts w:ascii="Times New Roman" w:hAnsi="宋体" w:cs="Times New Roman"/>
                <w:color w:val="333333"/>
                <w:szCs w:val="21"/>
              </w:rPr>
              <w:t>重工业</w:t>
            </w:r>
          </w:p>
        </w:tc>
        <w:tc>
          <w:tcPr>
            <w:tcW w:w="2172" w:type="dxa"/>
            <w:tcBorders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324.67</w:t>
            </w:r>
          </w:p>
        </w:tc>
        <w:tc>
          <w:tcPr>
            <w:tcW w:w="2335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 xml:space="preserve">11.6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</w:trPr>
        <w:tc>
          <w:tcPr>
            <w:tcW w:w="3428" w:type="dxa"/>
            <w:tcBorders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Times New Roman" w:hAnsi="Times New Roman" w:cs="Times New Roman"/>
                <w:color w:val="333333"/>
                <w:szCs w:val="21"/>
              </w:rPr>
            </w:pPr>
            <w:r>
              <w:rPr>
                <w:rFonts w:ascii="Times New Roman" w:hAnsi="Times New Roman" w:cs="Times New Roman"/>
                <w:bCs/>
                <w:kern w:val="0"/>
                <w:szCs w:val="21"/>
              </w:rPr>
              <w:t xml:space="preserve"> 在总计中：  国有企业</w:t>
            </w:r>
          </w:p>
        </w:tc>
        <w:tc>
          <w:tcPr>
            <w:tcW w:w="2172" w:type="dxa"/>
            <w:tcBorders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 xml:space="preserve">13.54 </w:t>
            </w:r>
          </w:p>
        </w:tc>
        <w:tc>
          <w:tcPr>
            <w:tcW w:w="2335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 xml:space="preserve">9.3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428" w:type="dxa"/>
            <w:tcBorders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Times New Roman" w:hAnsi="Times New Roman" w:cs="Times New Roman"/>
                <w:color w:val="333333"/>
                <w:szCs w:val="21"/>
              </w:rPr>
            </w:pPr>
            <w:r>
              <w:rPr>
                <w:rFonts w:ascii="Times New Roman" w:hAnsi="Times New Roman" w:cs="Times New Roman"/>
                <w:bCs/>
                <w:kern w:val="0"/>
                <w:szCs w:val="21"/>
              </w:rPr>
              <w:t xml:space="preserve">            </w:t>
            </w:r>
            <w:r>
              <w:rPr>
                <w:rFonts w:hint="eastAsia" w:ascii="Times New Roman" w:hAnsi="Times New Roman" w:cs="Times New Roman"/>
                <w:bCs/>
                <w:kern w:val="0"/>
                <w:szCs w:val="21"/>
                <w:lang w:val="en-US" w:eastAsia="zh-CN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kern w:val="0"/>
                <w:szCs w:val="21"/>
              </w:rPr>
              <w:t>集体企业</w:t>
            </w:r>
          </w:p>
        </w:tc>
        <w:tc>
          <w:tcPr>
            <w:tcW w:w="2172" w:type="dxa"/>
            <w:tcBorders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0.29</w:t>
            </w:r>
          </w:p>
        </w:tc>
        <w:tc>
          <w:tcPr>
            <w:tcW w:w="2335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 xml:space="preserve">1.8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</w:trPr>
        <w:tc>
          <w:tcPr>
            <w:tcW w:w="3428" w:type="dxa"/>
            <w:tcBorders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Times New Roman" w:hAnsi="Times New Roman" w:cs="Times New Roman"/>
                <w:color w:val="333333"/>
                <w:szCs w:val="21"/>
              </w:rPr>
            </w:pPr>
            <w:r>
              <w:rPr>
                <w:rFonts w:ascii="Times New Roman" w:hAnsi="Times New Roman" w:cs="Times New Roman"/>
                <w:bCs/>
                <w:kern w:val="0"/>
                <w:szCs w:val="21"/>
              </w:rPr>
              <w:t xml:space="preserve">             股份制企业</w:t>
            </w:r>
          </w:p>
        </w:tc>
        <w:tc>
          <w:tcPr>
            <w:tcW w:w="2172" w:type="dxa"/>
            <w:tcBorders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886.76</w:t>
            </w:r>
          </w:p>
        </w:tc>
        <w:tc>
          <w:tcPr>
            <w:tcW w:w="2335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 xml:space="preserve">10.0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</w:trPr>
        <w:tc>
          <w:tcPr>
            <w:tcW w:w="3428" w:type="dxa"/>
            <w:tcBorders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Times New Roman" w:hAnsi="Times New Roman" w:cs="Times New Roman"/>
                <w:color w:val="333333"/>
                <w:szCs w:val="21"/>
              </w:rPr>
            </w:pPr>
            <w:r>
              <w:rPr>
                <w:rFonts w:ascii="Times New Roman" w:hAnsi="Times New Roman" w:cs="Times New Roman"/>
                <w:bCs/>
                <w:kern w:val="0"/>
                <w:szCs w:val="21"/>
              </w:rPr>
              <w:t xml:space="preserve">             外商和港澳台商投资企业</w:t>
            </w:r>
          </w:p>
        </w:tc>
        <w:tc>
          <w:tcPr>
            <w:tcW w:w="2172" w:type="dxa"/>
            <w:tcBorders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40.29</w:t>
            </w:r>
          </w:p>
        </w:tc>
        <w:tc>
          <w:tcPr>
            <w:tcW w:w="2335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 xml:space="preserve">19.6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3" w:hRule="atLeast"/>
        </w:trPr>
        <w:tc>
          <w:tcPr>
            <w:tcW w:w="3428" w:type="dxa"/>
            <w:tcBorders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Times New Roman" w:hAnsi="Times New Roman" w:cs="Times New Roman"/>
                <w:color w:val="333333"/>
                <w:szCs w:val="21"/>
              </w:rPr>
            </w:pPr>
            <w:r>
              <w:rPr>
                <w:rFonts w:ascii="Times New Roman" w:hAnsi="Times New Roman" w:cs="Times New Roman"/>
                <w:bCs/>
                <w:kern w:val="0"/>
                <w:szCs w:val="21"/>
              </w:rPr>
              <w:t xml:space="preserve">             其他</w:t>
            </w:r>
          </w:p>
        </w:tc>
        <w:tc>
          <w:tcPr>
            <w:tcW w:w="2172" w:type="dxa"/>
            <w:tcBorders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59.61</w:t>
            </w:r>
          </w:p>
        </w:tc>
        <w:tc>
          <w:tcPr>
            <w:tcW w:w="2335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 xml:space="preserve">0.8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</w:trPr>
        <w:tc>
          <w:tcPr>
            <w:tcW w:w="3428" w:type="dxa"/>
            <w:tcBorders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Times New Roman" w:hAnsi="Times New Roman" w:cs="Times New Roman"/>
                <w:color w:val="333333"/>
                <w:szCs w:val="21"/>
              </w:rPr>
            </w:pPr>
            <w:r>
              <w:rPr>
                <w:rFonts w:ascii="Times New Roman" w:hAnsi="Times New Roman" w:cs="Times New Roman"/>
                <w:bCs/>
                <w:kern w:val="0"/>
                <w:szCs w:val="21"/>
              </w:rPr>
              <w:t xml:space="preserve"> 在总计中：  公有制</w:t>
            </w:r>
          </w:p>
        </w:tc>
        <w:tc>
          <w:tcPr>
            <w:tcW w:w="2172" w:type="dxa"/>
            <w:tcBorders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30.59</w:t>
            </w:r>
          </w:p>
        </w:tc>
        <w:tc>
          <w:tcPr>
            <w:tcW w:w="2335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 xml:space="preserve">7.4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</w:trPr>
        <w:tc>
          <w:tcPr>
            <w:tcW w:w="3428" w:type="dxa"/>
            <w:tcBorders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Times New Roman" w:hAnsi="Times New Roman" w:cs="Times New Roman"/>
                <w:color w:val="333333"/>
                <w:szCs w:val="21"/>
              </w:rPr>
            </w:pPr>
            <w:r>
              <w:rPr>
                <w:rFonts w:ascii="Times New Roman" w:hAnsi="Times New Roman" w:cs="Times New Roman"/>
                <w:bCs/>
                <w:kern w:val="0"/>
                <w:szCs w:val="21"/>
              </w:rPr>
              <w:t xml:space="preserve">             非公有制</w:t>
            </w:r>
          </w:p>
        </w:tc>
        <w:tc>
          <w:tcPr>
            <w:tcW w:w="2172" w:type="dxa"/>
            <w:tcBorders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969.90</w:t>
            </w:r>
          </w:p>
        </w:tc>
        <w:tc>
          <w:tcPr>
            <w:tcW w:w="2335" w:type="dxa"/>
            <w:tcBorders>
              <w:bottom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 xml:space="preserve">9.9 </w:t>
            </w:r>
          </w:p>
        </w:tc>
      </w:tr>
    </w:tbl>
    <w:p>
      <w:pPr>
        <w:widowControl/>
        <w:spacing w:line="600" w:lineRule="exact"/>
        <w:ind w:firstLine="482" w:firstLineChars="200"/>
        <w:rPr>
          <w:rFonts w:ascii="Times New Roman" w:hAnsi="Times New Roman" w:cs="Times New Roman"/>
          <w:b/>
          <w:color w:val="333333"/>
          <w:sz w:val="24"/>
        </w:rPr>
      </w:pPr>
      <w:r>
        <w:rPr>
          <w:rFonts w:ascii="Times New Roman" w:hAnsi="Times New Roman" w:cs="Times New Roman"/>
          <w:b/>
          <w:color w:val="333333"/>
          <w:sz w:val="24"/>
        </w:rPr>
        <w:t xml:space="preserve"> </w:t>
      </w:r>
    </w:p>
    <w:p>
      <w:pPr>
        <w:pStyle w:val="5"/>
        <w:widowControl/>
        <w:spacing w:beforeAutospacing="0" w:after="150" w:afterAutospacing="0" w:line="300" w:lineRule="atLeast"/>
        <w:rPr>
          <w:rStyle w:val="7"/>
          <w:rFonts w:ascii="Times New Roman" w:hAnsi="宋体" w:eastAsia="宋体"/>
          <w:color w:val="333333"/>
        </w:rPr>
      </w:pPr>
      <w:r>
        <w:rPr>
          <w:rStyle w:val="7"/>
          <w:rFonts w:ascii="Times New Roman" w:hAnsi="宋体" w:eastAsia="宋体"/>
          <w:color w:val="333333"/>
        </w:rPr>
        <w:t>表4：2016年规模以上工业主要产品产量</w:t>
      </w:r>
    </w:p>
    <w:tbl>
      <w:tblPr>
        <w:tblStyle w:val="8"/>
        <w:tblW w:w="8529" w:type="dxa"/>
        <w:tblInd w:w="15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862"/>
        <w:gridCol w:w="1405"/>
        <w:gridCol w:w="1537"/>
        <w:gridCol w:w="1725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3862" w:type="dxa"/>
            <w:tcBorders>
              <w:top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spacing w:line="400" w:lineRule="exact"/>
              <w:ind w:firstLine="482" w:firstLineChars="200"/>
              <w:rPr>
                <w:rFonts w:ascii="Times New Roman" w:hAnsi="Times New Roman" w:cs="Times New Roman"/>
                <w:color w:val="333333"/>
                <w:sz w:val="24"/>
              </w:rPr>
            </w:pPr>
            <w:r>
              <w:rPr>
                <w:rFonts w:ascii="Times New Roman" w:hAnsi="宋体" w:cs="Times New Roman"/>
                <w:b/>
                <w:bCs/>
                <w:color w:val="333333"/>
                <w:sz w:val="24"/>
              </w:rPr>
              <w:t>产品名称</w:t>
            </w:r>
          </w:p>
        </w:tc>
        <w:tc>
          <w:tcPr>
            <w:tcW w:w="1405" w:type="dxa"/>
            <w:tcBorders>
              <w:top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widowControl/>
              <w:spacing w:line="400" w:lineRule="exact"/>
              <w:ind w:firstLine="482" w:firstLineChars="200"/>
              <w:rPr>
                <w:rFonts w:ascii="Times New Roman" w:hAnsi="Times New Roman" w:cs="Times New Roman"/>
                <w:color w:val="333333"/>
                <w:sz w:val="24"/>
              </w:rPr>
            </w:pPr>
            <w:r>
              <w:rPr>
                <w:rFonts w:ascii="Times New Roman" w:hAnsi="宋体" w:cs="Times New Roman"/>
                <w:b/>
                <w:bCs/>
                <w:color w:val="333333"/>
                <w:sz w:val="24"/>
              </w:rPr>
              <w:t>单位</w:t>
            </w:r>
          </w:p>
        </w:tc>
        <w:tc>
          <w:tcPr>
            <w:tcW w:w="1537" w:type="dxa"/>
            <w:tcBorders>
              <w:top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widowControl/>
              <w:spacing w:line="400" w:lineRule="exact"/>
              <w:ind w:firstLine="482" w:firstLineChars="200"/>
              <w:rPr>
                <w:rFonts w:ascii="Times New Roman" w:hAnsi="Times New Roman" w:cs="Times New Roman"/>
                <w:color w:val="333333"/>
                <w:sz w:val="24"/>
              </w:rPr>
            </w:pPr>
            <w:r>
              <w:rPr>
                <w:rFonts w:ascii="Times New Roman" w:hAnsi="宋体" w:cs="Times New Roman"/>
                <w:b/>
                <w:bCs/>
                <w:color w:val="333333"/>
                <w:sz w:val="24"/>
              </w:rPr>
              <w:t>产</w:t>
            </w:r>
            <w:r>
              <w:rPr>
                <w:rFonts w:ascii="Times New Roman" w:hAnsi="Times New Roman" w:cs="Times New Roman"/>
                <w:b/>
                <w:bCs/>
                <w:color w:val="333333"/>
                <w:sz w:val="24"/>
              </w:rPr>
              <w:t xml:space="preserve">  </w:t>
            </w:r>
            <w:r>
              <w:rPr>
                <w:rFonts w:ascii="Times New Roman" w:hAnsi="宋体" w:cs="Times New Roman"/>
                <w:b/>
                <w:bCs/>
                <w:color w:val="333333"/>
                <w:sz w:val="24"/>
              </w:rPr>
              <w:t>量</w:t>
            </w:r>
          </w:p>
        </w:tc>
        <w:tc>
          <w:tcPr>
            <w:tcW w:w="1725" w:type="dxa"/>
            <w:tcBorders>
              <w:top w:val="single" w:color="000000" w:sz="8" w:space="0"/>
              <w:bottom w:val="single" w:color="000000" w:sz="8" w:space="0"/>
            </w:tcBorders>
          </w:tcPr>
          <w:p>
            <w:pPr>
              <w:widowControl/>
              <w:spacing w:line="400" w:lineRule="exact"/>
              <w:rPr>
                <w:rFonts w:ascii="Times New Roman" w:hAnsi="Times New Roman" w:cs="Times New Roman"/>
                <w:b/>
                <w:color w:val="333333"/>
                <w:sz w:val="24"/>
              </w:rPr>
            </w:pPr>
            <w:r>
              <w:rPr>
                <w:rFonts w:ascii="Times New Roman" w:hAnsi="宋体" w:cs="Times New Roman"/>
                <w:b/>
                <w:color w:val="333333"/>
                <w:sz w:val="24"/>
              </w:rPr>
              <w:t>比上年增</w:t>
            </w:r>
            <w:r>
              <w:rPr>
                <w:rFonts w:ascii="Times New Roman" w:hAnsi="宋体" w:cs="Times New Roman"/>
                <w:b/>
                <w:bCs/>
                <w:color w:val="333333"/>
                <w:sz w:val="24"/>
              </w:rPr>
              <w:t>长（</w:t>
            </w:r>
            <w:r>
              <w:rPr>
                <w:rFonts w:ascii="Times New Roman" w:hAnsi="Times New Roman" w:cs="Times New Roman"/>
                <w:b/>
                <w:bCs/>
                <w:color w:val="333333"/>
                <w:sz w:val="24"/>
              </w:rPr>
              <w:t>%</w:t>
            </w:r>
            <w:r>
              <w:rPr>
                <w:rFonts w:ascii="Times New Roman" w:hAnsi="宋体" w:cs="Times New Roman"/>
                <w:b/>
                <w:bCs/>
                <w:color w:val="333333"/>
                <w:sz w:val="24"/>
              </w:rPr>
              <w:t>）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3862" w:type="dxa"/>
            <w:tcBorders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spacing w:line="400" w:lineRule="exact"/>
              <w:ind w:firstLine="480" w:firstLineChars="200"/>
              <w:rPr>
                <w:rFonts w:ascii="Times New Roman" w:hAnsi="Times New Roman" w:cs="Times New Roman"/>
                <w:color w:val="333333"/>
                <w:sz w:val="24"/>
              </w:rPr>
            </w:pPr>
            <w:r>
              <w:rPr>
                <w:rFonts w:ascii="Times New Roman" w:hAnsi="宋体" w:cs="Times New Roman"/>
                <w:color w:val="333333"/>
                <w:sz w:val="24"/>
              </w:rPr>
              <w:t>小麦粉</w:t>
            </w:r>
          </w:p>
        </w:tc>
        <w:tc>
          <w:tcPr>
            <w:tcW w:w="1405" w:type="dxa"/>
            <w:tcBorders>
              <w:top w:val="single" w:color="000000" w:sz="8" w:space="0"/>
              <w:left w:val="single" w:color="auto" w:sz="4" w:space="0"/>
              <w:right w:val="single" w:color="auto" w:sz="4" w:space="0"/>
            </w:tcBorders>
          </w:tcPr>
          <w:p>
            <w:pPr>
              <w:widowControl/>
              <w:spacing w:line="400" w:lineRule="exact"/>
              <w:ind w:firstLine="480" w:firstLineChars="200"/>
              <w:rPr>
                <w:rFonts w:ascii="Times New Roman" w:hAnsi="Times New Roman" w:cs="Times New Roman"/>
                <w:color w:val="333333"/>
                <w:sz w:val="24"/>
              </w:rPr>
            </w:pPr>
            <w:r>
              <w:rPr>
                <w:rFonts w:ascii="Times New Roman" w:hAnsi="宋体" w:cs="Times New Roman"/>
                <w:color w:val="333333"/>
                <w:sz w:val="24"/>
              </w:rPr>
              <w:t>吨</w:t>
            </w:r>
          </w:p>
        </w:tc>
        <w:tc>
          <w:tcPr>
            <w:tcW w:w="1537" w:type="dxa"/>
            <w:tcBorders>
              <w:left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6524615</w:t>
            </w:r>
          </w:p>
        </w:tc>
        <w:tc>
          <w:tcPr>
            <w:tcW w:w="1725" w:type="dxa"/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8.1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3862" w:type="dxa"/>
            <w:tcBorders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spacing w:line="400" w:lineRule="exact"/>
              <w:ind w:firstLine="480" w:firstLineChars="200"/>
              <w:rPr>
                <w:rFonts w:ascii="Times New Roman" w:hAnsi="Times New Roman" w:cs="Times New Roman"/>
                <w:color w:val="333333"/>
                <w:sz w:val="24"/>
              </w:rPr>
            </w:pPr>
            <w:r>
              <w:rPr>
                <w:rFonts w:ascii="Times New Roman" w:hAnsi="宋体" w:cs="Times New Roman"/>
                <w:color w:val="333333"/>
                <w:sz w:val="24"/>
              </w:rPr>
              <w:t>畜肉制品</w:t>
            </w:r>
          </w:p>
        </w:tc>
        <w:tc>
          <w:tcPr>
            <w:tcW w:w="1405" w:type="dxa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widowControl/>
              <w:spacing w:line="400" w:lineRule="exact"/>
              <w:ind w:firstLine="480" w:firstLineChars="200"/>
              <w:rPr>
                <w:rFonts w:ascii="Times New Roman" w:hAnsi="Times New Roman" w:cs="Times New Roman"/>
                <w:color w:val="333333"/>
                <w:sz w:val="24"/>
              </w:rPr>
            </w:pPr>
            <w:r>
              <w:rPr>
                <w:rFonts w:ascii="Times New Roman" w:hAnsi="宋体" w:cs="Times New Roman"/>
                <w:color w:val="333333"/>
                <w:sz w:val="24"/>
              </w:rPr>
              <w:t>吨</w:t>
            </w:r>
          </w:p>
        </w:tc>
        <w:tc>
          <w:tcPr>
            <w:tcW w:w="1537" w:type="dxa"/>
            <w:tcBorders>
              <w:left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90960</w:t>
            </w:r>
          </w:p>
        </w:tc>
        <w:tc>
          <w:tcPr>
            <w:tcW w:w="1725" w:type="dxa"/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-15.1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3862" w:type="dxa"/>
            <w:tcBorders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spacing w:line="400" w:lineRule="exact"/>
              <w:ind w:firstLine="480" w:firstLineChars="200"/>
              <w:rPr>
                <w:rFonts w:ascii="Times New Roman" w:hAnsi="Times New Roman" w:cs="Times New Roman"/>
                <w:color w:val="333333"/>
                <w:sz w:val="24"/>
              </w:rPr>
            </w:pPr>
            <w:r>
              <w:rPr>
                <w:rFonts w:ascii="Times New Roman" w:hAnsi="宋体" w:cs="Times New Roman"/>
                <w:color w:val="333333"/>
                <w:sz w:val="24"/>
              </w:rPr>
              <w:t>饲料</w:t>
            </w:r>
          </w:p>
        </w:tc>
        <w:tc>
          <w:tcPr>
            <w:tcW w:w="1405" w:type="dxa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widowControl/>
              <w:spacing w:line="400" w:lineRule="exact"/>
              <w:ind w:firstLine="480" w:firstLineChars="200"/>
              <w:rPr>
                <w:rFonts w:ascii="Times New Roman" w:hAnsi="Times New Roman" w:cs="Times New Roman"/>
                <w:color w:val="333333"/>
                <w:sz w:val="24"/>
              </w:rPr>
            </w:pPr>
            <w:r>
              <w:rPr>
                <w:rFonts w:ascii="Times New Roman" w:hAnsi="宋体" w:cs="Times New Roman"/>
                <w:color w:val="333333"/>
                <w:sz w:val="24"/>
              </w:rPr>
              <w:t>吨</w:t>
            </w:r>
          </w:p>
        </w:tc>
        <w:tc>
          <w:tcPr>
            <w:tcW w:w="1537" w:type="dxa"/>
            <w:tcBorders>
              <w:left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2070609</w:t>
            </w:r>
          </w:p>
        </w:tc>
        <w:tc>
          <w:tcPr>
            <w:tcW w:w="1725" w:type="dxa"/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-6.6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3862" w:type="dxa"/>
            <w:tcBorders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spacing w:line="400" w:lineRule="exact"/>
              <w:ind w:firstLine="480" w:firstLineChars="200"/>
              <w:rPr>
                <w:rFonts w:ascii="Times New Roman" w:hAnsi="Times New Roman" w:cs="Times New Roman"/>
                <w:color w:val="333333"/>
                <w:sz w:val="24"/>
              </w:rPr>
            </w:pPr>
            <w:r>
              <w:rPr>
                <w:rFonts w:ascii="Times New Roman" w:hAnsi="宋体" w:cs="Times New Roman"/>
                <w:color w:val="333333"/>
                <w:sz w:val="24"/>
              </w:rPr>
              <w:t>速冻米面食品</w:t>
            </w:r>
          </w:p>
        </w:tc>
        <w:tc>
          <w:tcPr>
            <w:tcW w:w="1405" w:type="dxa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widowControl/>
              <w:spacing w:line="400" w:lineRule="exact"/>
              <w:ind w:firstLine="480" w:firstLineChars="200"/>
              <w:rPr>
                <w:rFonts w:ascii="Times New Roman" w:hAnsi="Times New Roman" w:cs="Times New Roman"/>
                <w:color w:val="333333"/>
                <w:sz w:val="24"/>
              </w:rPr>
            </w:pPr>
            <w:r>
              <w:rPr>
                <w:rFonts w:ascii="Times New Roman" w:hAnsi="宋体" w:cs="Times New Roman"/>
                <w:color w:val="333333"/>
                <w:sz w:val="24"/>
              </w:rPr>
              <w:t>吨</w:t>
            </w:r>
          </w:p>
        </w:tc>
        <w:tc>
          <w:tcPr>
            <w:tcW w:w="1537" w:type="dxa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44621</w:t>
            </w:r>
          </w:p>
        </w:tc>
        <w:tc>
          <w:tcPr>
            <w:tcW w:w="1725" w:type="dxa"/>
            <w:tcBorders>
              <w:lef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19.3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3862" w:type="dxa"/>
            <w:tcBorders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spacing w:line="400" w:lineRule="exact"/>
              <w:ind w:firstLine="480" w:firstLineChars="200"/>
              <w:rPr>
                <w:rFonts w:ascii="Times New Roman" w:hAnsi="Times New Roman" w:cs="Times New Roman"/>
                <w:color w:val="333333"/>
                <w:sz w:val="24"/>
              </w:rPr>
            </w:pPr>
            <w:r>
              <w:rPr>
                <w:rFonts w:ascii="Times New Roman" w:hAnsi="宋体" w:cs="Times New Roman"/>
                <w:color w:val="333333"/>
                <w:sz w:val="24"/>
              </w:rPr>
              <w:t>方便面</w:t>
            </w:r>
          </w:p>
        </w:tc>
        <w:tc>
          <w:tcPr>
            <w:tcW w:w="1405" w:type="dxa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widowControl/>
              <w:spacing w:line="400" w:lineRule="exact"/>
              <w:ind w:firstLine="480" w:firstLineChars="200"/>
              <w:rPr>
                <w:rFonts w:ascii="Times New Roman" w:hAnsi="Times New Roman" w:cs="Times New Roman"/>
                <w:color w:val="333333"/>
                <w:sz w:val="24"/>
              </w:rPr>
            </w:pPr>
            <w:r>
              <w:rPr>
                <w:rFonts w:ascii="Times New Roman" w:hAnsi="宋体" w:cs="Times New Roman"/>
                <w:color w:val="333333"/>
                <w:sz w:val="24"/>
              </w:rPr>
              <w:t>吨</w:t>
            </w:r>
          </w:p>
        </w:tc>
        <w:tc>
          <w:tcPr>
            <w:tcW w:w="1537" w:type="dxa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608229</w:t>
            </w:r>
          </w:p>
        </w:tc>
        <w:tc>
          <w:tcPr>
            <w:tcW w:w="1725" w:type="dxa"/>
            <w:tcBorders>
              <w:lef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-8.8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3862" w:type="dxa"/>
            <w:tcBorders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spacing w:line="400" w:lineRule="exact"/>
              <w:ind w:firstLine="480" w:firstLineChars="200"/>
              <w:rPr>
                <w:rFonts w:ascii="Times New Roman" w:hAnsi="Times New Roman" w:cs="Times New Roman"/>
                <w:color w:val="333333"/>
                <w:sz w:val="24"/>
              </w:rPr>
            </w:pPr>
            <w:r>
              <w:rPr>
                <w:rFonts w:ascii="Times New Roman" w:hAnsi="宋体" w:cs="Times New Roman"/>
                <w:color w:val="333333"/>
                <w:sz w:val="24"/>
              </w:rPr>
              <w:t>乳制品</w:t>
            </w:r>
          </w:p>
        </w:tc>
        <w:tc>
          <w:tcPr>
            <w:tcW w:w="1405" w:type="dxa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widowControl/>
              <w:spacing w:line="400" w:lineRule="exact"/>
              <w:ind w:firstLine="480" w:firstLineChars="200"/>
              <w:rPr>
                <w:rFonts w:ascii="Times New Roman" w:hAnsi="Times New Roman" w:cs="Times New Roman"/>
                <w:color w:val="333333"/>
                <w:sz w:val="24"/>
              </w:rPr>
            </w:pPr>
            <w:r>
              <w:rPr>
                <w:rFonts w:ascii="Times New Roman" w:hAnsi="宋体" w:cs="Times New Roman"/>
                <w:color w:val="333333"/>
                <w:sz w:val="24"/>
              </w:rPr>
              <w:t>吨</w:t>
            </w:r>
          </w:p>
        </w:tc>
        <w:tc>
          <w:tcPr>
            <w:tcW w:w="1537" w:type="dxa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75059</w:t>
            </w:r>
          </w:p>
        </w:tc>
        <w:tc>
          <w:tcPr>
            <w:tcW w:w="1725" w:type="dxa"/>
            <w:tcBorders>
              <w:lef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5.9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5" w:hRule="atLeast"/>
        </w:trPr>
        <w:tc>
          <w:tcPr>
            <w:tcW w:w="3862" w:type="dxa"/>
            <w:tcBorders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</w:tcPr>
          <w:p>
            <w:pPr>
              <w:spacing w:line="400" w:lineRule="exact"/>
              <w:ind w:firstLine="480" w:firstLineChars="200"/>
              <w:rPr>
                <w:rFonts w:ascii="Times New Roman" w:hAnsi="Times New Roman" w:cs="Times New Roman"/>
                <w:color w:val="333333"/>
                <w:sz w:val="24"/>
              </w:rPr>
            </w:pPr>
            <w:r>
              <w:rPr>
                <w:rFonts w:ascii="Times New Roman" w:hAnsi="宋体" w:cs="Times New Roman"/>
                <w:color w:val="333333"/>
                <w:sz w:val="24"/>
              </w:rPr>
              <w:t>味精</w:t>
            </w:r>
          </w:p>
        </w:tc>
        <w:tc>
          <w:tcPr>
            <w:tcW w:w="1405" w:type="dxa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ind w:firstLine="480" w:firstLineChars="200"/>
              <w:rPr>
                <w:rFonts w:ascii="Times New Roman" w:hAnsi="Times New Roman" w:cs="Times New Roman"/>
                <w:color w:val="333333"/>
                <w:sz w:val="24"/>
              </w:rPr>
            </w:pPr>
            <w:r>
              <w:rPr>
                <w:rFonts w:ascii="Times New Roman" w:hAnsi="宋体" w:cs="Times New Roman"/>
                <w:color w:val="333333"/>
                <w:sz w:val="24"/>
              </w:rPr>
              <w:t>吨</w:t>
            </w:r>
          </w:p>
        </w:tc>
        <w:tc>
          <w:tcPr>
            <w:tcW w:w="1537" w:type="dxa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322869</w:t>
            </w:r>
          </w:p>
        </w:tc>
        <w:tc>
          <w:tcPr>
            <w:tcW w:w="1725" w:type="dxa"/>
            <w:tcBorders>
              <w:lef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5.1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5" w:hRule="atLeast"/>
        </w:trPr>
        <w:tc>
          <w:tcPr>
            <w:tcW w:w="3862" w:type="dxa"/>
            <w:tcBorders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</w:tcPr>
          <w:p>
            <w:pPr>
              <w:spacing w:line="400" w:lineRule="exact"/>
              <w:ind w:firstLine="480" w:firstLineChars="200"/>
              <w:rPr>
                <w:rFonts w:ascii="Times New Roman" w:hAnsi="Times New Roman" w:cs="Times New Roman"/>
                <w:color w:val="333333"/>
                <w:sz w:val="24"/>
              </w:rPr>
            </w:pPr>
            <w:r>
              <w:rPr>
                <w:rFonts w:ascii="Times New Roman" w:hAnsi="宋体" w:cs="Times New Roman"/>
                <w:color w:val="333333"/>
                <w:sz w:val="24"/>
              </w:rPr>
              <w:t>饮料酒</w:t>
            </w:r>
          </w:p>
        </w:tc>
        <w:tc>
          <w:tcPr>
            <w:tcW w:w="1405" w:type="dxa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ind w:firstLine="480" w:firstLineChars="200"/>
              <w:rPr>
                <w:rFonts w:ascii="Times New Roman" w:hAnsi="Times New Roman" w:cs="Times New Roman"/>
                <w:color w:val="333333"/>
                <w:sz w:val="24"/>
              </w:rPr>
            </w:pPr>
            <w:r>
              <w:rPr>
                <w:rFonts w:ascii="Times New Roman" w:hAnsi="宋体" w:cs="Times New Roman"/>
                <w:color w:val="333333"/>
                <w:sz w:val="24"/>
              </w:rPr>
              <w:t>千升</w:t>
            </w:r>
          </w:p>
        </w:tc>
        <w:tc>
          <w:tcPr>
            <w:tcW w:w="1537" w:type="dxa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977183</w:t>
            </w:r>
          </w:p>
        </w:tc>
        <w:tc>
          <w:tcPr>
            <w:tcW w:w="1725" w:type="dxa"/>
            <w:tcBorders>
              <w:lef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5.0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2" w:hRule="atLeast"/>
        </w:trPr>
        <w:tc>
          <w:tcPr>
            <w:tcW w:w="3862" w:type="dxa"/>
            <w:tcBorders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</w:tcPr>
          <w:p>
            <w:pPr>
              <w:spacing w:line="400" w:lineRule="exact"/>
              <w:ind w:firstLine="480" w:firstLineChars="200"/>
              <w:rPr>
                <w:rFonts w:ascii="Times New Roman" w:hAnsi="Times New Roman" w:cs="Times New Roman"/>
                <w:color w:val="333333"/>
                <w:sz w:val="24"/>
              </w:rPr>
            </w:pPr>
            <w:r>
              <w:rPr>
                <w:rFonts w:ascii="Times New Roman" w:hAnsi="宋体" w:cs="Times New Roman"/>
                <w:color w:val="333333"/>
                <w:sz w:val="24"/>
              </w:rPr>
              <w:t>软饮料</w:t>
            </w:r>
          </w:p>
        </w:tc>
        <w:tc>
          <w:tcPr>
            <w:tcW w:w="1405" w:type="dxa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ind w:firstLine="480" w:firstLineChars="200"/>
              <w:rPr>
                <w:rFonts w:ascii="Times New Roman" w:hAnsi="Times New Roman" w:cs="Times New Roman"/>
                <w:color w:val="333333"/>
                <w:sz w:val="24"/>
              </w:rPr>
            </w:pPr>
            <w:r>
              <w:rPr>
                <w:rFonts w:ascii="Times New Roman" w:hAnsi="宋体" w:cs="Times New Roman"/>
                <w:color w:val="333333"/>
                <w:sz w:val="24"/>
              </w:rPr>
              <w:t>吨</w:t>
            </w:r>
          </w:p>
        </w:tc>
        <w:tc>
          <w:tcPr>
            <w:tcW w:w="1537" w:type="dxa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59242</w:t>
            </w:r>
          </w:p>
        </w:tc>
        <w:tc>
          <w:tcPr>
            <w:tcW w:w="1725" w:type="dxa"/>
            <w:tcBorders>
              <w:lef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-6.0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3862" w:type="dxa"/>
            <w:tcBorders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spacing w:line="400" w:lineRule="exact"/>
              <w:ind w:firstLine="480" w:firstLineChars="200"/>
              <w:rPr>
                <w:rFonts w:ascii="Times New Roman" w:hAnsi="Times New Roman" w:cs="Times New Roman"/>
                <w:color w:val="333333"/>
                <w:sz w:val="24"/>
              </w:rPr>
            </w:pPr>
            <w:r>
              <w:rPr>
                <w:rFonts w:ascii="Times New Roman" w:hAnsi="宋体" w:cs="Times New Roman"/>
                <w:color w:val="333333"/>
                <w:sz w:val="24"/>
              </w:rPr>
              <w:t>人造板</w:t>
            </w:r>
          </w:p>
        </w:tc>
        <w:tc>
          <w:tcPr>
            <w:tcW w:w="1405" w:type="dxa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widowControl/>
              <w:spacing w:line="400" w:lineRule="exact"/>
              <w:ind w:firstLine="480" w:firstLineChars="200"/>
              <w:rPr>
                <w:rFonts w:ascii="Times New Roman" w:hAnsi="Times New Roman" w:cs="Times New Roman"/>
                <w:color w:val="333333"/>
                <w:sz w:val="24"/>
              </w:rPr>
            </w:pPr>
            <w:r>
              <w:rPr>
                <w:rFonts w:ascii="Times New Roman" w:hAnsi="宋体" w:cs="Times New Roman"/>
                <w:color w:val="333333"/>
                <w:sz w:val="24"/>
              </w:rPr>
              <w:t>立方米</w:t>
            </w:r>
          </w:p>
        </w:tc>
        <w:tc>
          <w:tcPr>
            <w:tcW w:w="1537" w:type="dxa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1427937</w:t>
            </w:r>
          </w:p>
        </w:tc>
        <w:tc>
          <w:tcPr>
            <w:tcW w:w="1725" w:type="dxa"/>
            <w:tcBorders>
              <w:lef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11.0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3862" w:type="dxa"/>
            <w:tcBorders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spacing w:line="400" w:lineRule="exact"/>
              <w:ind w:firstLine="480" w:firstLineChars="200"/>
              <w:rPr>
                <w:rFonts w:ascii="Times New Roman" w:hAnsi="Times New Roman" w:cs="Times New Roman"/>
                <w:color w:val="333333"/>
                <w:sz w:val="24"/>
              </w:rPr>
            </w:pPr>
            <w:r>
              <w:rPr>
                <w:rFonts w:ascii="Times New Roman" w:hAnsi="宋体" w:cs="Times New Roman"/>
                <w:color w:val="333333"/>
                <w:sz w:val="24"/>
              </w:rPr>
              <w:t>纱</w:t>
            </w:r>
          </w:p>
        </w:tc>
        <w:tc>
          <w:tcPr>
            <w:tcW w:w="1405" w:type="dxa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widowControl/>
              <w:spacing w:line="400" w:lineRule="exact"/>
              <w:ind w:firstLine="480" w:firstLineChars="200"/>
              <w:rPr>
                <w:rFonts w:ascii="Times New Roman" w:hAnsi="Times New Roman" w:cs="Times New Roman"/>
                <w:color w:val="333333"/>
                <w:sz w:val="24"/>
              </w:rPr>
            </w:pPr>
            <w:r>
              <w:rPr>
                <w:rFonts w:ascii="Times New Roman" w:hAnsi="宋体" w:cs="Times New Roman"/>
                <w:color w:val="333333"/>
                <w:sz w:val="24"/>
              </w:rPr>
              <w:t>吨</w:t>
            </w:r>
          </w:p>
        </w:tc>
        <w:tc>
          <w:tcPr>
            <w:tcW w:w="1537" w:type="dxa"/>
            <w:tcBorders>
              <w:left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829142</w:t>
            </w:r>
          </w:p>
        </w:tc>
        <w:tc>
          <w:tcPr>
            <w:tcW w:w="1725" w:type="dxa"/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-0.9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3862" w:type="dxa"/>
            <w:tcBorders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spacing w:line="400" w:lineRule="exact"/>
              <w:ind w:firstLine="480" w:firstLineChars="200"/>
              <w:rPr>
                <w:rFonts w:ascii="Times New Roman" w:hAnsi="Times New Roman" w:cs="Times New Roman"/>
                <w:color w:val="333333"/>
                <w:sz w:val="24"/>
              </w:rPr>
            </w:pPr>
            <w:r>
              <w:rPr>
                <w:rFonts w:ascii="Times New Roman" w:hAnsi="宋体" w:cs="Times New Roman"/>
                <w:color w:val="333333"/>
                <w:sz w:val="24"/>
              </w:rPr>
              <w:t>皮革鞋靴</w:t>
            </w:r>
          </w:p>
        </w:tc>
        <w:tc>
          <w:tcPr>
            <w:tcW w:w="1405" w:type="dxa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widowControl/>
              <w:spacing w:line="400" w:lineRule="exact"/>
              <w:ind w:firstLine="480" w:firstLineChars="200"/>
              <w:rPr>
                <w:rFonts w:ascii="Times New Roman" w:hAnsi="Times New Roman" w:cs="Times New Roman"/>
                <w:color w:val="333333"/>
                <w:sz w:val="24"/>
              </w:rPr>
            </w:pPr>
            <w:r>
              <w:rPr>
                <w:rFonts w:ascii="Times New Roman" w:hAnsi="宋体" w:cs="Times New Roman"/>
                <w:color w:val="333333"/>
                <w:sz w:val="24"/>
              </w:rPr>
              <w:t>万双</w:t>
            </w:r>
          </w:p>
        </w:tc>
        <w:tc>
          <w:tcPr>
            <w:tcW w:w="1537" w:type="dxa"/>
            <w:tcBorders>
              <w:left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3174</w:t>
            </w:r>
          </w:p>
        </w:tc>
        <w:tc>
          <w:tcPr>
            <w:tcW w:w="1725" w:type="dxa"/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26.3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3862" w:type="dxa"/>
            <w:tcBorders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spacing w:line="400" w:lineRule="exact"/>
              <w:ind w:firstLine="480" w:firstLineChars="200"/>
              <w:rPr>
                <w:rFonts w:ascii="Times New Roman" w:hAnsi="Times New Roman" w:cs="Times New Roman"/>
                <w:color w:val="333333"/>
                <w:sz w:val="24"/>
              </w:rPr>
            </w:pPr>
            <w:r>
              <w:rPr>
                <w:rFonts w:ascii="Times New Roman" w:hAnsi="宋体" w:cs="Times New Roman"/>
                <w:color w:val="333333"/>
                <w:sz w:val="24"/>
              </w:rPr>
              <w:t>轻革</w:t>
            </w:r>
          </w:p>
        </w:tc>
        <w:tc>
          <w:tcPr>
            <w:tcW w:w="1405" w:type="dxa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widowControl/>
              <w:spacing w:line="400" w:lineRule="exact"/>
              <w:ind w:firstLine="480" w:firstLineChars="200"/>
              <w:rPr>
                <w:rFonts w:ascii="Times New Roman" w:hAnsi="Times New Roman" w:cs="Times New Roman"/>
                <w:color w:val="333333"/>
                <w:sz w:val="24"/>
              </w:rPr>
            </w:pPr>
            <w:r>
              <w:rPr>
                <w:rFonts w:ascii="Times New Roman" w:hAnsi="宋体" w:cs="Times New Roman"/>
                <w:color w:val="333333"/>
                <w:sz w:val="24"/>
              </w:rPr>
              <w:t>平方米</w:t>
            </w:r>
          </w:p>
        </w:tc>
        <w:tc>
          <w:tcPr>
            <w:tcW w:w="1537" w:type="dxa"/>
            <w:tcBorders>
              <w:left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48551727</w:t>
            </w:r>
          </w:p>
        </w:tc>
        <w:tc>
          <w:tcPr>
            <w:tcW w:w="1725" w:type="dxa"/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-32.0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3862" w:type="dxa"/>
            <w:tcBorders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spacing w:line="400" w:lineRule="exact"/>
              <w:ind w:firstLine="480" w:firstLineChars="200"/>
              <w:rPr>
                <w:rFonts w:ascii="Times New Roman" w:hAnsi="Times New Roman" w:cs="Times New Roman"/>
                <w:color w:val="333333"/>
                <w:sz w:val="24"/>
              </w:rPr>
            </w:pPr>
            <w:r>
              <w:rPr>
                <w:rFonts w:ascii="Times New Roman" w:hAnsi="宋体" w:cs="Times New Roman"/>
                <w:color w:val="333333"/>
                <w:sz w:val="24"/>
              </w:rPr>
              <w:t>纸制品</w:t>
            </w:r>
          </w:p>
        </w:tc>
        <w:tc>
          <w:tcPr>
            <w:tcW w:w="1405" w:type="dxa"/>
            <w:tcBorders>
              <w:right w:val="single" w:color="000000" w:sz="4" w:space="0"/>
            </w:tcBorders>
          </w:tcPr>
          <w:p>
            <w:pPr>
              <w:widowControl/>
              <w:spacing w:line="400" w:lineRule="exact"/>
              <w:ind w:firstLine="480" w:firstLineChars="200"/>
              <w:rPr>
                <w:rFonts w:ascii="Times New Roman" w:hAnsi="Times New Roman" w:cs="Times New Roman"/>
                <w:color w:val="333333"/>
                <w:sz w:val="24"/>
              </w:rPr>
            </w:pPr>
            <w:r>
              <w:rPr>
                <w:rFonts w:ascii="Times New Roman" w:hAnsi="宋体" w:cs="Times New Roman"/>
                <w:color w:val="333333"/>
                <w:sz w:val="24"/>
              </w:rPr>
              <w:t>吨</w:t>
            </w:r>
          </w:p>
        </w:tc>
        <w:tc>
          <w:tcPr>
            <w:tcW w:w="1537" w:type="dxa"/>
            <w:tcBorders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777146</w:t>
            </w:r>
          </w:p>
        </w:tc>
        <w:tc>
          <w:tcPr>
            <w:tcW w:w="1725" w:type="dxa"/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-17.8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3862" w:type="dxa"/>
            <w:tcBorders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spacing w:line="400" w:lineRule="exact"/>
              <w:ind w:firstLine="480" w:firstLineChars="200"/>
              <w:rPr>
                <w:rFonts w:ascii="Times New Roman" w:hAnsi="Times New Roman" w:cs="Times New Roman"/>
                <w:color w:val="333333"/>
                <w:sz w:val="24"/>
              </w:rPr>
            </w:pPr>
            <w:r>
              <w:rPr>
                <w:rFonts w:ascii="Times New Roman" w:hAnsi="宋体" w:cs="Times New Roman"/>
                <w:color w:val="333333"/>
                <w:sz w:val="24"/>
              </w:rPr>
              <w:t>农用氮磷钾化学肥料（折纯）</w:t>
            </w:r>
          </w:p>
        </w:tc>
        <w:tc>
          <w:tcPr>
            <w:tcW w:w="1405" w:type="dxa"/>
            <w:tcBorders>
              <w:right w:val="single" w:color="000000" w:sz="4" w:space="0"/>
            </w:tcBorders>
          </w:tcPr>
          <w:p>
            <w:pPr>
              <w:widowControl/>
              <w:spacing w:line="400" w:lineRule="exact"/>
              <w:ind w:firstLine="480" w:firstLineChars="200"/>
              <w:rPr>
                <w:rFonts w:ascii="Times New Roman" w:hAnsi="Times New Roman" w:cs="Times New Roman"/>
                <w:color w:val="333333"/>
                <w:sz w:val="24"/>
              </w:rPr>
            </w:pPr>
            <w:r>
              <w:rPr>
                <w:rFonts w:ascii="Times New Roman" w:hAnsi="宋体" w:cs="Times New Roman"/>
                <w:color w:val="333333"/>
                <w:sz w:val="24"/>
              </w:rPr>
              <w:t>吨</w:t>
            </w:r>
          </w:p>
        </w:tc>
        <w:tc>
          <w:tcPr>
            <w:tcW w:w="1537" w:type="dxa"/>
            <w:tcBorders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198433</w:t>
            </w:r>
          </w:p>
        </w:tc>
        <w:tc>
          <w:tcPr>
            <w:tcW w:w="1725" w:type="dxa"/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6.4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</w:trPr>
        <w:tc>
          <w:tcPr>
            <w:tcW w:w="3862" w:type="dxa"/>
            <w:tcBorders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</w:tcPr>
          <w:p>
            <w:pPr>
              <w:spacing w:line="400" w:lineRule="exact"/>
              <w:ind w:firstLine="480" w:firstLineChars="200"/>
              <w:rPr>
                <w:rFonts w:ascii="Times New Roman" w:hAnsi="Times New Roman" w:cs="Times New Roman"/>
                <w:color w:val="333333"/>
                <w:sz w:val="24"/>
              </w:rPr>
            </w:pPr>
            <w:r>
              <w:rPr>
                <w:rFonts w:ascii="Times New Roman" w:hAnsi="宋体" w:cs="Times New Roman"/>
                <w:color w:val="333333"/>
                <w:sz w:val="24"/>
              </w:rPr>
              <w:t>氮肥（折含</w:t>
            </w:r>
            <w:r>
              <w:rPr>
                <w:rFonts w:ascii="Times New Roman" w:hAnsi="Times New Roman" w:cs="Times New Roman"/>
                <w:color w:val="333333"/>
                <w:sz w:val="24"/>
              </w:rPr>
              <w:t>N 100</w:t>
            </w:r>
            <w:r>
              <w:rPr>
                <w:rFonts w:ascii="Times New Roman" w:hAnsi="宋体" w:cs="Times New Roman"/>
                <w:color w:val="333333"/>
                <w:sz w:val="24"/>
              </w:rPr>
              <w:t>％）</w:t>
            </w:r>
          </w:p>
        </w:tc>
        <w:tc>
          <w:tcPr>
            <w:tcW w:w="1405" w:type="dxa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ind w:firstLine="480" w:firstLineChars="200"/>
              <w:rPr>
                <w:rFonts w:ascii="Times New Roman" w:hAnsi="Times New Roman" w:cs="Times New Roman"/>
                <w:color w:val="333333"/>
                <w:sz w:val="24"/>
              </w:rPr>
            </w:pPr>
            <w:r>
              <w:rPr>
                <w:rFonts w:ascii="Times New Roman" w:hAnsi="宋体" w:cs="Times New Roman"/>
                <w:color w:val="333333"/>
                <w:sz w:val="24"/>
              </w:rPr>
              <w:t>吨</w:t>
            </w:r>
          </w:p>
        </w:tc>
        <w:tc>
          <w:tcPr>
            <w:tcW w:w="1537" w:type="dxa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195143</w:t>
            </w:r>
          </w:p>
        </w:tc>
        <w:tc>
          <w:tcPr>
            <w:tcW w:w="1725" w:type="dxa"/>
            <w:tcBorders>
              <w:lef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7.6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</w:trPr>
        <w:tc>
          <w:tcPr>
            <w:tcW w:w="3862" w:type="dxa"/>
            <w:tcBorders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</w:tcPr>
          <w:p>
            <w:pPr>
              <w:spacing w:line="400" w:lineRule="exact"/>
              <w:ind w:firstLine="480" w:firstLineChars="200"/>
              <w:rPr>
                <w:rFonts w:ascii="Times New Roman" w:hAnsi="Times New Roman" w:cs="Times New Roman"/>
                <w:color w:val="333333"/>
                <w:sz w:val="24"/>
              </w:rPr>
            </w:pPr>
            <w:r>
              <w:rPr>
                <w:rFonts w:ascii="Times New Roman" w:hAnsi="宋体" w:cs="Times New Roman"/>
                <w:color w:val="333333"/>
                <w:sz w:val="24"/>
              </w:rPr>
              <w:t>塑料制品</w:t>
            </w:r>
          </w:p>
        </w:tc>
        <w:tc>
          <w:tcPr>
            <w:tcW w:w="1405" w:type="dxa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ind w:firstLine="480" w:firstLineChars="200"/>
              <w:rPr>
                <w:rFonts w:ascii="Times New Roman" w:hAnsi="Times New Roman" w:cs="Times New Roman"/>
                <w:color w:val="333333"/>
                <w:sz w:val="24"/>
              </w:rPr>
            </w:pPr>
            <w:r>
              <w:rPr>
                <w:rFonts w:ascii="Times New Roman" w:hAnsi="宋体" w:cs="Times New Roman"/>
                <w:color w:val="333333"/>
                <w:sz w:val="24"/>
              </w:rPr>
              <w:t>吨</w:t>
            </w:r>
          </w:p>
        </w:tc>
        <w:tc>
          <w:tcPr>
            <w:tcW w:w="1537" w:type="dxa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1140584</w:t>
            </w:r>
          </w:p>
        </w:tc>
        <w:tc>
          <w:tcPr>
            <w:tcW w:w="1725" w:type="dxa"/>
            <w:tcBorders>
              <w:lef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10.6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8" w:hRule="atLeast"/>
        </w:trPr>
        <w:tc>
          <w:tcPr>
            <w:tcW w:w="3862" w:type="dxa"/>
            <w:tcBorders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</w:tcPr>
          <w:p>
            <w:pPr>
              <w:spacing w:line="400" w:lineRule="exact"/>
              <w:ind w:firstLine="480" w:firstLineChars="200"/>
              <w:rPr>
                <w:rFonts w:ascii="Times New Roman" w:hAnsi="Times New Roman" w:cs="Times New Roman"/>
                <w:color w:val="333333"/>
                <w:sz w:val="24"/>
              </w:rPr>
            </w:pPr>
            <w:r>
              <w:rPr>
                <w:rFonts w:ascii="Times New Roman" w:hAnsi="宋体" w:cs="Times New Roman"/>
                <w:color w:val="333333"/>
                <w:sz w:val="24"/>
              </w:rPr>
              <w:t>化学药品原药</w:t>
            </w:r>
          </w:p>
        </w:tc>
        <w:tc>
          <w:tcPr>
            <w:tcW w:w="1405" w:type="dxa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ind w:firstLine="480" w:firstLineChars="200"/>
              <w:rPr>
                <w:rFonts w:ascii="Times New Roman" w:hAnsi="Times New Roman" w:cs="Times New Roman"/>
                <w:color w:val="333333"/>
                <w:sz w:val="24"/>
              </w:rPr>
            </w:pPr>
            <w:r>
              <w:rPr>
                <w:rFonts w:ascii="Times New Roman" w:hAnsi="宋体" w:cs="Times New Roman"/>
                <w:color w:val="333333"/>
                <w:sz w:val="24"/>
              </w:rPr>
              <w:t>吨</w:t>
            </w:r>
          </w:p>
        </w:tc>
        <w:tc>
          <w:tcPr>
            <w:tcW w:w="1537" w:type="dxa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6138</w:t>
            </w:r>
          </w:p>
        </w:tc>
        <w:tc>
          <w:tcPr>
            <w:tcW w:w="1725" w:type="dxa"/>
            <w:tcBorders>
              <w:lef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-5.7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8" w:hRule="atLeast"/>
        </w:trPr>
        <w:tc>
          <w:tcPr>
            <w:tcW w:w="3862" w:type="dxa"/>
            <w:tcBorders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</w:tcPr>
          <w:p>
            <w:pPr>
              <w:spacing w:line="400" w:lineRule="exact"/>
              <w:ind w:firstLine="480" w:firstLineChars="200"/>
              <w:rPr>
                <w:rFonts w:ascii="Times New Roman" w:hAnsi="Times New Roman" w:cs="Times New Roman"/>
                <w:color w:val="333333"/>
                <w:sz w:val="24"/>
              </w:rPr>
            </w:pPr>
            <w:r>
              <w:rPr>
                <w:rFonts w:ascii="Times New Roman" w:hAnsi="宋体" w:cs="Times New Roman"/>
                <w:color w:val="333333"/>
                <w:sz w:val="24"/>
              </w:rPr>
              <w:t>中成药</w:t>
            </w:r>
          </w:p>
        </w:tc>
        <w:tc>
          <w:tcPr>
            <w:tcW w:w="1405" w:type="dxa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ind w:firstLine="480" w:firstLineChars="200"/>
              <w:rPr>
                <w:rFonts w:ascii="Times New Roman" w:hAnsi="Times New Roman" w:cs="Times New Roman"/>
                <w:color w:val="333333"/>
                <w:sz w:val="24"/>
              </w:rPr>
            </w:pPr>
            <w:r>
              <w:rPr>
                <w:rFonts w:ascii="Times New Roman" w:hAnsi="宋体" w:cs="Times New Roman"/>
                <w:color w:val="333333"/>
                <w:sz w:val="24"/>
              </w:rPr>
              <w:t>吨</w:t>
            </w:r>
          </w:p>
        </w:tc>
        <w:tc>
          <w:tcPr>
            <w:tcW w:w="1537" w:type="dxa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112558</w:t>
            </w:r>
          </w:p>
        </w:tc>
        <w:tc>
          <w:tcPr>
            <w:tcW w:w="1725" w:type="dxa"/>
            <w:tcBorders>
              <w:lef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17.0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</w:trPr>
        <w:tc>
          <w:tcPr>
            <w:tcW w:w="3862" w:type="dxa"/>
            <w:tcBorders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</w:tcPr>
          <w:p>
            <w:pPr>
              <w:spacing w:line="400" w:lineRule="exact"/>
              <w:ind w:firstLine="480" w:firstLineChars="200"/>
              <w:rPr>
                <w:rFonts w:ascii="Times New Roman" w:hAnsi="Times New Roman" w:cs="Times New Roman"/>
                <w:color w:val="333333"/>
                <w:sz w:val="24"/>
              </w:rPr>
            </w:pPr>
            <w:r>
              <w:rPr>
                <w:rFonts w:ascii="Times New Roman" w:hAnsi="宋体" w:cs="Times New Roman"/>
                <w:color w:val="333333"/>
                <w:sz w:val="24"/>
              </w:rPr>
              <w:t>水泥</w:t>
            </w:r>
          </w:p>
        </w:tc>
        <w:tc>
          <w:tcPr>
            <w:tcW w:w="1405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ind w:firstLine="480" w:firstLineChars="200"/>
              <w:rPr>
                <w:rFonts w:ascii="Times New Roman" w:hAnsi="Times New Roman" w:cs="Times New Roman"/>
                <w:color w:val="333333"/>
                <w:sz w:val="24"/>
              </w:rPr>
            </w:pPr>
            <w:r>
              <w:rPr>
                <w:rFonts w:ascii="Times New Roman" w:hAnsi="宋体" w:cs="Times New Roman"/>
                <w:color w:val="333333"/>
                <w:sz w:val="24"/>
              </w:rPr>
              <w:t>吨</w:t>
            </w:r>
          </w:p>
        </w:tc>
        <w:tc>
          <w:tcPr>
            <w:tcW w:w="1537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1899845</w:t>
            </w:r>
          </w:p>
        </w:tc>
        <w:tc>
          <w:tcPr>
            <w:tcW w:w="1725" w:type="dxa"/>
            <w:tcBorders>
              <w:left w:val="single" w:color="auto" w:sz="4" w:space="0"/>
              <w:bottom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6.4</w:t>
            </w:r>
          </w:p>
        </w:tc>
      </w:tr>
    </w:tbl>
    <w:p>
      <w:pPr>
        <w:spacing w:line="600" w:lineRule="exact"/>
        <w:ind w:firstLine="480" w:firstLineChars="200"/>
        <w:rPr>
          <w:rFonts w:ascii="Times New Roman" w:hAnsi="Times New Roman" w:cs="Times New Roman"/>
          <w:kern w:val="1"/>
          <w:sz w:val="24"/>
          <w:lang w:val="zh-CN"/>
        </w:rPr>
      </w:pPr>
      <w:r>
        <w:rPr>
          <w:rFonts w:hint="eastAsia" w:ascii="Times New Roman" w:hAnsi="宋体" w:cs="Times New Roman"/>
          <w:kern w:val="1"/>
          <w:sz w:val="24"/>
          <w:lang w:val="zh-CN"/>
        </w:rPr>
        <w:t>全年</w:t>
      </w:r>
      <w:r>
        <w:rPr>
          <w:rFonts w:ascii="Times New Roman" w:hAnsi="宋体" w:cs="Times New Roman"/>
          <w:kern w:val="1"/>
          <w:sz w:val="24"/>
          <w:lang w:val="zh-CN"/>
        </w:rPr>
        <w:t>全市规模以上工业企业实现利润总额</w:t>
      </w:r>
      <w:r>
        <w:rPr>
          <w:rFonts w:ascii="Times New Roman" w:hAnsi="Times New Roman" w:cs="Times New Roman"/>
          <w:kern w:val="1"/>
          <w:sz w:val="24"/>
          <w:lang w:val="zh-CN"/>
        </w:rPr>
        <w:t>482.57</w:t>
      </w:r>
      <w:r>
        <w:rPr>
          <w:rFonts w:ascii="Times New Roman" w:hAnsi="宋体" w:cs="Times New Roman"/>
          <w:kern w:val="1"/>
          <w:sz w:val="24"/>
          <w:lang w:val="zh-CN"/>
        </w:rPr>
        <w:t>亿元，同比增长</w:t>
      </w:r>
      <w:r>
        <w:rPr>
          <w:rFonts w:ascii="Times New Roman" w:hAnsi="Times New Roman" w:cs="Times New Roman"/>
          <w:kern w:val="1"/>
          <w:sz w:val="24"/>
          <w:lang w:val="zh-CN"/>
        </w:rPr>
        <w:t>10.6%</w:t>
      </w:r>
      <w:r>
        <w:rPr>
          <w:rFonts w:ascii="Times New Roman" w:hAnsi="宋体" w:cs="Times New Roman"/>
          <w:kern w:val="1"/>
          <w:sz w:val="24"/>
          <w:lang w:val="zh-CN"/>
        </w:rPr>
        <w:t>；规模以上工业企业实现主营业务收入</w:t>
      </w:r>
      <w:r>
        <w:rPr>
          <w:rFonts w:ascii="Times New Roman" w:hAnsi="Times New Roman" w:cs="Times New Roman"/>
          <w:kern w:val="1"/>
          <w:sz w:val="24"/>
          <w:lang w:val="zh-CN"/>
        </w:rPr>
        <w:t>4483.47</w:t>
      </w:r>
      <w:r>
        <w:rPr>
          <w:rFonts w:ascii="Times New Roman" w:hAnsi="宋体" w:cs="Times New Roman"/>
          <w:kern w:val="1"/>
          <w:sz w:val="24"/>
          <w:lang w:val="zh-CN"/>
        </w:rPr>
        <w:t>亿元，同比增长</w:t>
      </w:r>
      <w:r>
        <w:rPr>
          <w:rFonts w:ascii="Times New Roman" w:hAnsi="Times New Roman" w:cs="Times New Roman"/>
          <w:kern w:val="1"/>
          <w:sz w:val="24"/>
          <w:lang w:val="zh-CN"/>
        </w:rPr>
        <w:t>11.2%</w:t>
      </w:r>
      <w:r>
        <w:rPr>
          <w:rFonts w:ascii="Times New Roman" w:hAnsi="宋体" w:cs="Times New Roman"/>
          <w:kern w:val="1"/>
          <w:sz w:val="24"/>
          <w:lang w:val="zh-CN"/>
        </w:rPr>
        <w:t>。</w:t>
      </w:r>
    </w:p>
    <w:p>
      <w:pPr>
        <w:spacing w:line="480" w:lineRule="auto"/>
        <w:ind w:firstLine="480" w:firstLineChars="200"/>
        <w:rPr>
          <w:rFonts w:ascii="Times New Roman" w:hAnsi="Times New Roman" w:cs="Times New Roman"/>
          <w:kern w:val="1"/>
          <w:sz w:val="24"/>
          <w:lang w:val="zh-CN"/>
        </w:rPr>
      </w:pPr>
      <w:r>
        <w:rPr>
          <w:rFonts w:hint="eastAsia" w:ascii="Times New Roman" w:hAnsi="宋体" w:eastAsia="宋体" w:cs="Times New Roman"/>
          <w:kern w:val="1"/>
          <w:sz w:val="24"/>
          <w:lang w:val="zh-CN"/>
        </w:rPr>
        <w:t>全年</w:t>
      </w:r>
      <w:r>
        <w:rPr>
          <w:rFonts w:ascii="Times New Roman" w:hAnsi="宋体" w:eastAsia="宋体" w:cs="Times New Roman"/>
          <w:kern w:val="1"/>
          <w:sz w:val="24"/>
          <w:lang w:val="zh-CN"/>
        </w:rPr>
        <w:t>全社会建筑业增加值</w:t>
      </w:r>
      <w:r>
        <w:rPr>
          <w:rFonts w:ascii="Times New Roman" w:hAnsi="Times New Roman" w:eastAsia="宋体" w:cs="Times New Roman"/>
          <w:kern w:val="1"/>
          <w:sz w:val="24"/>
        </w:rPr>
        <w:t>113.06</w:t>
      </w:r>
      <w:r>
        <w:rPr>
          <w:rFonts w:ascii="Times New Roman" w:hAnsi="宋体" w:eastAsia="宋体" w:cs="Times New Roman"/>
          <w:kern w:val="1"/>
          <w:sz w:val="24"/>
          <w:lang w:val="zh-CN"/>
        </w:rPr>
        <w:t>亿元，同比增长</w:t>
      </w:r>
      <w:r>
        <w:rPr>
          <w:rFonts w:ascii="Times New Roman" w:hAnsi="Times New Roman" w:eastAsia="宋体" w:cs="Times New Roman"/>
          <w:kern w:val="1"/>
          <w:sz w:val="24"/>
        </w:rPr>
        <w:t>9.2</w:t>
      </w:r>
      <w:r>
        <w:rPr>
          <w:rFonts w:ascii="Times New Roman" w:hAnsi="Times New Roman" w:eastAsia="宋体" w:cs="Times New Roman"/>
          <w:kern w:val="1"/>
          <w:sz w:val="24"/>
          <w:lang w:val="zh-CN"/>
        </w:rPr>
        <w:t>%</w:t>
      </w:r>
      <w:r>
        <w:rPr>
          <w:rFonts w:ascii="Times New Roman" w:hAnsi="宋体" w:eastAsia="宋体" w:cs="Times New Roman"/>
          <w:kern w:val="1"/>
          <w:sz w:val="24"/>
          <w:lang w:val="zh-CN"/>
        </w:rPr>
        <w:t>。具有资质等级的总承包和专业承包建筑业企业</w:t>
      </w:r>
      <w:r>
        <w:rPr>
          <w:rFonts w:ascii="Times New Roman" w:hAnsi="Times New Roman" w:eastAsia="宋体" w:cs="Times New Roman"/>
          <w:kern w:val="1"/>
          <w:sz w:val="24"/>
        </w:rPr>
        <w:t>198</w:t>
      </w:r>
      <w:r>
        <w:rPr>
          <w:rFonts w:ascii="Times New Roman" w:hAnsi="宋体" w:eastAsia="宋体" w:cs="Times New Roman"/>
          <w:kern w:val="1"/>
          <w:sz w:val="24"/>
          <w:lang w:val="zh-CN"/>
        </w:rPr>
        <w:t>家。</w:t>
      </w:r>
    </w:p>
    <w:p>
      <w:pPr>
        <w:widowControl/>
        <w:spacing w:line="600" w:lineRule="exact"/>
        <w:jc w:val="center"/>
        <w:rPr>
          <w:rFonts w:ascii="Times New Roman" w:hAnsi="Times New Roman" w:cs="Times New Roman"/>
          <w:b/>
          <w:color w:val="333333"/>
          <w:sz w:val="24"/>
        </w:rPr>
      </w:pPr>
      <w:r>
        <w:rPr>
          <w:rFonts w:ascii="Times New Roman" w:hAnsi="宋体" w:cs="Times New Roman"/>
          <w:b/>
          <w:bCs/>
          <w:color w:val="333333"/>
          <w:sz w:val="24"/>
        </w:rPr>
        <w:t>四、固定资产投资</w:t>
      </w:r>
    </w:p>
    <w:p>
      <w:pPr>
        <w:spacing w:line="600" w:lineRule="exact"/>
        <w:ind w:firstLine="480" w:firstLineChars="200"/>
        <w:rPr>
          <w:rFonts w:ascii="Times New Roman" w:hAnsi="宋体" w:cs="Times New Roman"/>
          <w:kern w:val="1"/>
          <w:sz w:val="24"/>
        </w:rPr>
      </w:pPr>
      <w:r>
        <w:rPr>
          <w:rFonts w:hint="eastAsia" w:ascii="Times New Roman" w:hAnsi="宋体" w:cs="Times New Roman"/>
          <w:kern w:val="1"/>
          <w:sz w:val="24"/>
        </w:rPr>
        <w:t>全年</w:t>
      </w:r>
      <w:r>
        <w:rPr>
          <w:rFonts w:ascii="Times New Roman" w:hAnsi="宋体" w:cs="Times New Roman"/>
          <w:kern w:val="1"/>
          <w:sz w:val="24"/>
        </w:rPr>
        <w:t>全市完成固定资产投资（不含农户）</w:t>
      </w:r>
      <w:r>
        <w:rPr>
          <w:rFonts w:ascii="Times New Roman" w:hAnsi="Times New Roman" w:cs="Times New Roman"/>
          <w:kern w:val="1"/>
          <w:sz w:val="24"/>
        </w:rPr>
        <w:t>1862.15</w:t>
      </w:r>
      <w:r>
        <w:rPr>
          <w:rFonts w:ascii="Times New Roman" w:hAnsi="宋体" w:cs="Times New Roman"/>
          <w:kern w:val="1"/>
          <w:sz w:val="24"/>
        </w:rPr>
        <w:t>亿元，同比增长</w:t>
      </w:r>
      <w:r>
        <w:rPr>
          <w:rFonts w:ascii="Times New Roman" w:hAnsi="Times New Roman" w:cs="Times New Roman"/>
          <w:kern w:val="1"/>
          <w:sz w:val="24"/>
        </w:rPr>
        <w:t>15.9 %</w:t>
      </w:r>
      <w:r>
        <w:rPr>
          <w:rFonts w:ascii="Times New Roman" w:hAnsi="宋体" w:cs="Times New Roman"/>
          <w:kern w:val="1"/>
          <w:sz w:val="24"/>
        </w:rPr>
        <w:t>。</w:t>
      </w:r>
    </w:p>
    <w:p>
      <w:pPr>
        <w:spacing w:line="600" w:lineRule="exact"/>
        <w:ind w:firstLine="480" w:firstLineChars="200"/>
        <w:rPr>
          <w:rFonts w:ascii="Times New Roman" w:hAnsi="宋体" w:cs="Times New Roman"/>
          <w:kern w:val="1"/>
          <w:sz w:val="24"/>
        </w:rPr>
      </w:pPr>
    </w:p>
    <w:p>
      <w:pPr>
        <w:rPr>
          <w:rFonts w:ascii="Times New Roman" w:hAnsi="宋体" w:eastAsia="宋体" w:cs="Times New Roman"/>
          <w:b/>
          <w:color w:val="333333"/>
          <w:sz w:val="24"/>
        </w:rPr>
      </w:pPr>
      <w:r>
        <w:rPr>
          <w:rFonts w:ascii="Times New Roman" w:hAnsi="宋体" w:eastAsia="宋体" w:cs="Times New Roman"/>
          <w:b/>
          <w:color w:val="333333"/>
          <w:sz w:val="24"/>
        </w:rPr>
        <w:t>图4：2011-2016年固定资产投资及增速</w:t>
      </w:r>
    </w:p>
    <w:p>
      <w:pPr>
        <w:rPr>
          <w:rFonts w:ascii="Times New Roman" w:hAnsi="宋体" w:eastAsia="宋体" w:cs="Times New Roman"/>
          <w:b/>
          <w:color w:val="333333"/>
          <w:sz w:val="24"/>
        </w:rPr>
      </w:pPr>
    </w:p>
    <w:p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drawing>
          <wp:inline distT="0" distB="0" distL="114300" distR="114300">
            <wp:extent cx="4723765" cy="3323590"/>
            <wp:effectExtent l="0" t="0" r="635" b="10160"/>
            <wp:docPr id="4" name="图片 4" descr="QQ图片201703020918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QQ图片20170302091827"/>
                    <pic:cNvPicPr>
                      <a:picLocks noChangeAspect="1"/>
                    </pic:cNvPicPr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23765" cy="3323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600" w:lineRule="exact"/>
        <w:ind w:firstLine="480" w:firstLineChars="200"/>
        <w:rPr>
          <w:rFonts w:ascii="Times New Roman" w:hAnsi="Times New Roman" w:cs="Times New Roman"/>
          <w:kern w:val="1"/>
          <w:sz w:val="24"/>
        </w:rPr>
      </w:pPr>
      <w:r>
        <w:rPr>
          <w:rFonts w:ascii="Times New Roman" w:hAnsi="宋体" w:cs="Times New Roman"/>
          <w:kern w:val="1"/>
          <w:sz w:val="24"/>
        </w:rPr>
        <w:t>在固定资产投资中，第一产业完成投资</w:t>
      </w:r>
      <w:r>
        <w:rPr>
          <w:rFonts w:ascii="Times New Roman" w:hAnsi="Times New Roman" w:cs="Times New Roman"/>
          <w:kern w:val="1"/>
          <w:sz w:val="24"/>
        </w:rPr>
        <w:t xml:space="preserve">176.35 </w:t>
      </w:r>
      <w:r>
        <w:rPr>
          <w:rFonts w:ascii="Times New Roman" w:hAnsi="宋体" w:cs="Times New Roman"/>
          <w:kern w:val="1"/>
          <w:sz w:val="24"/>
        </w:rPr>
        <w:t>亿元，同比增长</w:t>
      </w:r>
      <w:r>
        <w:rPr>
          <w:rFonts w:ascii="Times New Roman" w:hAnsi="Times New Roman" w:cs="Times New Roman"/>
          <w:kern w:val="1"/>
          <w:sz w:val="24"/>
        </w:rPr>
        <w:t>227.1%</w:t>
      </w:r>
      <w:r>
        <w:rPr>
          <w:rFonts w:ascii="Times New Roman" w:hAnsi="宋体" w:cs="Times New Roman"/>
          <w:kern w:val="1"/>
          <w:sz w:val="24"/>
        </w:rPr>
        <w:t>；第二产业完成投资</w:t>
      </w:r>
      <w:r>
        <w:rPr>
          <w:rFonts w:ascii="Times New Roman" w:hAnsi="Times New Roman" w:cs="Times New Roman"/>
          <w:kern w:val="1"/>
          <w:sz w:val="24"/>
        </w:rPr>
        <w:t xml:space="preserve"> 1016.32 </w:t>
      </w:r>
      <w:r>
        <w:rPr>
          <w:rFonts w:ascii="Times New Roman" w:hAnsi="宋体" w:cs="Times New Roman"/>
          <w:kern w:val="1"/>
          <w:sz w:val="24"/>
        </w:rPr>
        <w:t>亿元，同比增长</w:t>
      </w:r>
      <w:r>
        <w:rPr>
          <w:rFonts w:ascii="Times New Roman" w:hAnsi="Times New Roman" w:cs="Times New Roman"/>
          <w:kern w:val="1"/>
          <w:sz w:val="24"/>
        </w:rPr>
        <w:t>6.4 %</w:t>
      </w:r>
      <w:r>
        <w:rPr>
          <w:rFonts w:ascii="Times New Roman" w:hAnsi="宋体" w:cs="Times New Roman"/>
          <w:kern w:val="1"/>
          <w:sz w:val="24"/>
        </w:rPr>
        <w:t>；第三产业完成投资</w:t>
      </w:r>
      <w:r>
        <w:rPr>
          <w:rFonts w:ascii="Times New Roman" w:hAnsi="Times New Roman" w:cs="Times New Roman"/>
          <w:kern w:val="1"/>
          <w:sz w:val="24"/>
        </w:rPr>
        <w:t>669.48</w:t>
      </w:r>
      <w:r>
        <w:rPr>
          <w:rFonts w:ascii="Times New Roman" w:hAnsi="宋体" w:cs="Times New Roman"/>
          <w:kern w:val="1"/>
          <w:sz w:val="24"/>
        </w:rPr>
        <w:t>亿元，同比增长</w:t>
      </w:r>
      <w:r>
        <w:rPr>
          <w:rFonts w:ascii="Times New Roman" w:hAnsi="Times New Roman" w:cs="Times New Roman"/>
          <w:kern w:val="1"/>
          <w:sz w:val="24"/>
        </w:rPr>
        <w:t>11.9%</w:t>
      </w:r>
      <w:r>
        <w:rPr>
          <w:rFonts w:ascii="Times New Roman" w:hAnsi="宋体" w:cs="Times New Roman"/>
          <w:kern w:val="1"/>
          <w:sz w:val="24"/>
        </w:rPr>
        <w:t>。</w:t>
      </w:r>
    </w:p>
    <w:p>
      <w:pPr>
        <w:spacing w:line="600" w:lineRule="exact"/>
        <w:ind w:firstLine="480" w:firstLineChars="200"/>
        <w:rPr>
          <w:rFonts w:ascii="Times New Roman" w:hAnsi="Times New Roman" w:cs="Times New Roman"/>
          <w:kern w:val="1"/>
          <w:sz w:val="24"/>
        </w:rPr>
      </w:pPr>
      <w:r>
        <w:rPr>
          <w:rFonts w:hint="eastAsia" w:ascii="Times New Roman" w:hAnsi="宋体" w:cs="Times New Roman"/>
          <w:kern w:val="1"/>
          <w:sz w:val="24"/>
        </w:rPr>
        <w:t>全年</w:t>
      </w:r>
      <w:r>
        <w:rPr>
          <w:rFonts w:ascii="Times New Roman" w:hAnsi="宋体" w:cs="Times New Roman"/>
          <w:kern w:val="1"/>
          <w:sz w:val="24"/>
        </w:rPr>
        <w:t>全市完成房地产开发投资</w:t>
      </w:r>
      <w:r>
        <w:rPr>
          <w:rFonts w:ascii="Times New Roman" w:hAnsi="Times New Roman" w:cs="Times New Roman"/>
          <w:sz w:val="24"/>
        </w:rPr>
        <w:t>219.22</w:t>
      </w:r>
      <w:r>
        <w:rPr>
          <w:rFonts w:ascii="Times New Roman" w:hAnsi="宋体" w:cs="Times New Roman"/>
          <w:kern w:val="1"/>
          <w:sz w:val="24"/>
        </w:rPr>
        <w:t>亿元，同比增长</w:t>
      </w:r>
      <w:r>
        <w:rPr>
          <w:rFonts w:ascii="Times New Roman" w:hAnsi="Times New Roman" w:cs="Times New Roman"/>
          <w:kern w:val="1"/>
          <w:sz w:val="24"/>
        </w:rPr>
        <w:t>14%</w:t>
      </w:r>
      <w:r>
        <w:rPr>
          <w:rFonts w:ascii="Times New Roman" w:hAnsi="宋体" w:cs="Times New Roman"/>
          <w:kern w:val="1"/>
          <w:sz w:val="24"/>
        </w:rPr>
        <w:t>。其中住宅投资</w:t>
      </w:r>
      <w:r>
        <w:rPr>
          <w:rFonts w:ascii="Times New Roman" w:hAnsi="Times New Roman" w:cs="Times New Roman"/>
          <w:kern w:val="1"/>
          <w:sz w:val="24"/>
        </w:rPr>
        <w:t>169.31</w:t>
      </w:r>
      <w:r>
        <w:rPr>
          <w:rFonts w:ascii="Times New Roman" w:hAnsi="宋体" w:cs="Times New Roman"/>
          <w:kern w:val="1"/>
          <w:sz w:val="24"/>
        </w:rPr>
        <w:t>亿元，同比增长</w:t>
      </w:r>
      <w:r>
        <w:rPr>
          <w:rFonts w:ascii="Times New Roman" w:hAnsi="Times New Roman" w:cs="Times New Roman"/>
          <w:kern w:val="1"/>
          <w:sz w:val="24"/>
        </w:rPr>
        <w:t>0.9%</w:t>
      </w:r>
      <w:r>
        <w:rPr>
          <w:rFonts w:ascii="Times New Roman" w:hAnsi="宋体" w:cs="Times New Roman"/>
          <w:kern w:val="1"/>
          <w:sz w:val="24"/>
        </w:rPr>
        <w:t>。商品房销售面积</w:t>
      </w:r>
      <w:r>
        <w:rPr>
          <w:rFonts w:ascii="Times New Roman" w:hAnsi="Times New Roman" w:cs="Times New Roman"/>
          <w:kern w:val="1"/>
          <w:sz w:val="24"/>
        </w:rPr>
        <w:t>459.99</w:t>
      </w:r>
      <w:r>
        <w:rPr>
          <w:rFonts w:ascii="Times New Roman" w:hAnsi="宋体" w:cs="Times New Roman"/>
          <w:kern w:val="1"/>
          <w:sz w:val="24"/>
        </w:rPr>
        <w:t>万平方米，</w:t>
      </w:r>
      <w:r>
        <w:rPr>
          <w:rFonts w:ascii="Times New Roman" w:hAnsi="宋体" w:cs="Times New Roman"/>
          <w:sz w:val="24"/>
        </w:rPr>
        <w:t>同比增长</w:t>
      </w:r>
      <w:r>
        <w:rPr>
          <w:rFonts w:ascii="Times New Roman" w:hAnsi="Times New Roman" w:cs="Times New Roman"/>
          <w:sz w:val="24"/>
        </w:rPr>
        <w:t>14.7%</w:t>
      </w:r>
      <w:r>
        <w:rPr>
          <w:rFonts w:ascii="Times New Roman" w:hAnsi="宋体" w:cs="Times New Roman"/>
          <w:kern w:val="1"/>
          <w:sz w:val="24"/>
        </w:rPr>
        <w:t>，商品房销售额</w:t>
      </w:r>
      <w:r>
        <w:rPr>
          <w:rFonts w:ascii="Times New Roman" w:hAnsi="Times New Roman" w:cs="Times New Roman"/>
          <w:kern w:val="1"/>
          <w:sz w:val="24"/>
        </w:rPr>
        <w:t xml:space="preserve"> 161.52</w:t>
      </w:r>
      <w:r>
        <w:rPr>
          <w:rFonts w:ascii="Times New Roman" w:hAnsi="宋体" w:cs="Times New Roman"/>
          <w:kern w:val="1"/>
          <w:sz w:val="24"/>
        </w:rPr>
        <w:t>亿元，</w:t>
      </w:r>
      <w:r>
        <w:rPr>
          <w:rFonts w:ascii="Times New Roman" w:hAnsi="宋体" w:cs="Times New Roman"/>
          <w:sz w:val="24"/>
        </w:rPr>
        <w:t>同比增长</w:t>
      </w:r>
      <w:r>
        <w:rPr>
          <w:rFonts w:ascii="Times New Roman" w:hAnsi="Times New Roman" w:cs="Times New Roman"/>
          <w:sz w:val="24"/>
        </w:rPr>
        <w:t>17.6%</w:t>
      </w:r>
      <w:r>
        <w:rPr>
          <w:rFonts w:ascii="Times New Roman" w:hAnsi="宋体" w:cs="Times New Roman"/>
          <w:kern w:val="1"/>
          <w:sz w:val="24"/>
        </w:rPr>
        <w:t>。</w:t>
      </w:r>
    </w:p>
    <w:p>
      <w:pPr>
        <w:widowControl/>
        <w:spacing w:line="600" w:lineRule="exact"/>
        <w:jc w:val="center"/>
        <w:rPr>
          <w:rFonts w:ascii="Times New Roman" w:hAnsi="Times New Roman" w:cs="Times New Roman"/>
          <w:b/>
          <w:kern w:val="1"/>
          <w:sz w:val="24"/>
        </w:rPr>
      </w:pPr>
      <w:r>
        <w:rPr>
          <w:rFonts w:ascii="Times New Roman" w:hAnsi="宋体" w:cs="Times New Roman"/>
          <w:b/>
          <w:color w:val="333333"/>
          <w:sz w:val="24"/>
        </w:rPr>
        <w:t>五、国内贸易和对外经济</w:t>
      </w:r>
    </w:p>
    <w:p>
      <w:pPr>
        <w:spacing w:line="600" w:lineRule="exact"/>
        <w:ind w:firstLine="480" w:firstLineChars="200"/>
        <w:rPr>
          <w:rFonts w:ascii="Times New Roman" w:hAnsi="宋体" w:cs="Times New Roman"/>
          <w:kern w:val="1"/>
          <w:sz w:val="24"/>
        </w:rPr>
      </w:pPr>
      <w:r>
        <w:rPr>
          <w:rFonts w:hint="eastAsia" w:ascii="Times New Roman" w:hAnsi="宋体" w:cs="Times New Roman"/>
          <w:kern w:val="1"/>
          <w:sz w:val="24"/>
        </w:rPr>
        <w:t>全年</w:t>
      </w:r>
      <w:r>
        <w:rPr>
          <w:rFonts w:ascii="Times New Roman" w:hAnsi="宋体" w:cs="Times New Roman"/>
          <w:kern w:val="1"/>
          <w:sz w:val="24"/>
        </w:rPr>
        <w:t>全市社会消费品零售总额</w:t>
      </w:r>
      <w:r>
        <w:rPr>
          <w:rFonts w:ascii="Times New Roman" w:hAnsi="Times New Roman" w:cs="Times New Roman"/>
          <w:kern w:val="1"/>
          <w:sz w:val="24"/>
        </w:rPr>
        <w:t>1094.09</w:t>
      </w:r>
      <w:r>
        <w:rPr>
          <w:rFonts w:ascii="Times New Roman" w:hAnsi="宋体" w:cs="Times New Roman"/>
          <w:kern w:val="1"/>
          <w:sz w:val="24"/>
        </w:rPr>
        <w:t>亿元，同比增长</w:t>
      </w:r>
      <w:r>
        <w:rPr>
          <w:rFonts w:ascii="Times New Roman" w:hAnsi="Times New Roman" w:cs="Times New Roman"/>
          <w:kern w:val="1"/>
          <w:sz w:val="24"/>
        </w:rPr>
        <w:t>12.2%</w:t>
      </w:r>
      <w:r>
        <w:rPr>
          <w:rFonts w:ascii="Times New Roman" w:hAnsi="宋体" w:cs="Times New Roman"/>
          <w:kern w:val="1"/>
          <w:sz w:val="24"/>
        </w:rPr>
        <w:t>。分城乡看，城镇</w:t>
      </w:r>
      <w:r>
        <w:rPr>
          <w:rFonts w:ascii="Times New Roman" w:hAnsi="Times New Roman" w:cs="Times New Roman"/>
          <w:kern w:val="1"/>
          <w:sz w:val="24"/>
        </w:rPr>
        <w:t>889.74</w:t>
      </w:r>
      <w:r>
        <w:rPr>
          <w:rFonts w:ascii="Times New Roman" w:hAnsi="宋体" w:cs="Times New Roman"/>
          <w:kern w:val="1"/>
          <w:sz w:val="24"/>
        </w:rPr>
        <w:t>亿元，同比增长12.3%；农村</w:t>
      </w:r>
      <w:r>
        <w:rPr>
          <w:rFonts w:hint="eastAsia" w:ascii="Times New Roman" w:hAnsi="宋体" w:cs="Times New Roman"/>
          <w:kern w:val="1"/>
          <w:sz w:val="24"/>
          <w:lang w:val="en-US" w:eastAsia="zh-CN"/>
        </w:rPr>
        <w:t>204.35</w:t>
      </w:r>
      <w:r>
        <w:rPr>
          <w:rFonts w:ascii="Times New Roman" w:hAnsi="宋体" w:cs="Times New Roman"/>
          <w:kern w:val="1"/>
          <w:sz w:val="24"/>
        </w:rPr>
        <w:t>亿元，同比增长10.7%。分行业看，批发业142.67亿元，同比增长8.2%；零售业727.51亿元，同比增长12.6%；住宿业11.99亿元，同比增长11.4%；餐饮业21</w:t>
      </w:r>
      <w:r>
        <w:rPr>
          <w:rFonts w:ascii="Times New Roman" w:hAnsi="Times New Roman" w:cs="Times New Roman"/>
          <w:kern w:val="1"/>
          <w:sz w:val="24"/>
        </w:rPr>
        <w:t>1.92</w:t>
      </w:r>
      <w:r>
        <w:rPr>
          <w:rFonts w:ascii="Times New Roman" w:hAnsi="宋体" w:cs="Times New Roman"/>
          <w:kern w:val="1"/>
          <w:sz w:val="24"/>
        </w:rPr>
        <w:t>亿元，同比增长</w:t>
      </w:r>
      <w:r>
        <w:rPr>
          <w:rFonts w:ascii="Times New Roman" w:hAnsi="Times New Roman" w:cs="Times New Roman"/>
          <w:kern w:val="1"/>
          <w:sz w:val="24"/>
        </w:rPr>
        <w:t>13.8%</w:t>
      </w:r>
      <w:r>
        <w:rPr>
          <w:rFonts w:ascii="Times New Roman" w:hAnsi="宋体" w:cs="Times New Roman"/>
          <w:kern w:val="1"/>
          <w:sz w:val="24"/>
        </w:rPr>
        <w:t>。</w:t>
      </w:r>
    </w:p>
    <w:p>
      <w:pPr>
        <w:spacing w:line="600" w:lineRule="exact"/>
        <w:ind w:firstLine="480" w:firstLineChars="200"/>
        <w:rPr>
          <w:rFonts w:ascii="Times New Roman" w:hAnsi="宋体" w:cs="Times New Roman"/>
          <w:kern w:val="1"/>
          <w:sz w:val="24"/>
        </w:rPr>
      </w:pPr>
    </w:p>
    <w:p>
      <w:pPr>
        <w:rPr>
          <w:rFonts w:ascii="Times New Roman" w:hAnsi="宋体" w:eastAsia="宋体" w:cs="Times New Roman"/>
          <w:b/>
          <w:color w:val="333333"/>
          <w:sz w:val="24"/>
        </w:rPr>
      </w:pPr>
      <w:r>
        <w:rPr>
          <w:rFonts w:ascii="Times New Roman" w:hAnsi="宋体" w:eastAsia="宋体" w:cs="Times New Roman"/>
          <w:b/>
          <w:color w:val="333333"/>
          <w:sz w:val="24"/>
        </w:rPr>
        <w:t>图5：2011-2016年社会消费品零售总额及增速</w:t>
      </w:r>
    </w:p>
    <w:p>
      <w:pPr>
        <w:rPr>
          <w:rFonts w:ascii="Times New Roman" w:hAnsi="宋体" w:eastAsia="宋体" w:cs="Times New Roman"/>
          <w:b/>
          <w:color w:val="333333"/>
          <w:sz w:val="24"/>
        </w:rPr>
      </w:pPr>
    </w:p>
    <w:p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drawing>
          <wp:inline distT="0" distB="0" distL="114300" distR="114300">
            <wp:extent cx="5270500" cy="3290570"/>
            <wp:effectExtent l="0" t="0" r="6350" b="5080"/>
            <wp:docPr id="2" name="图片 2" descr="QQ图片201703020925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QQ图片20170302092534"/>
                    <pic:cNvPicPr>
                      <a:picLocks noChangeAspect="1"/>
                    </pic:cNvPicPr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2905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600" w:lineRule="exact"/>
        <w:ind w:firstLine="480" w:firstLineChars="200"/>
        <w:rPr>
          <w:rFonts w:ascii="Times New Roman" w:hAnsi="Times New Roman" w:cs="Times New Roman"/>
          <w:kern w:val="1"/>
          <w:sz w:val="24"/>
        </w:rPr>
      </w:pPr>
      <w:r>
        <w:rPr>
          <w:rFonts w:hint="eastAsia" w:ascii="Times New Roman" w:hAnsi="宋体" w:cs="Times New Roman"/>
          <w:kern w:val="1"/>
          <w:sz w:val="24"/>
        </w:rPr>
        <w:t>全年</w:t>
      </w:r>
      <w:r>
        <w:rPr>
          <w:rFonts w:ascii="Times New Roman" w:hAnsi="宋体" w:cs="Times New Roman"/>
          <w:kern w:val="1"/>
          <w:sz w:val="24"/>
        </w:rPr>
        <w:t>全市限额以上企业</w:t>
      </w:r>
      <w:r>
        <w:rPr>
          <w:rFonts w:ascii="Times New Roman" w:hAnsi="Times New Roman" w:cs="Times New Roman"/>
          <w:kern w:val="1"/>
          <w:sz w:val="24"/>
        </w:rPr>
        <w:t>(</w:t>
      </w:r>
      <w:r>
        <w:rPr>
          <w:rFonts w:ascii="Times New Roman" w:hAnsi="宋体" w:cs="Times New Roman"/>
          <w:kern w:val="1"/>
          <w:sz w:val="24"/>
        </w:rPr>
        <w:t>单位</w:t>
      </w:r>
      <w:r>
        <w:rPr>
          <w:rFonts w:ascii="Times New Roman" w:hAnsi="Times New Roman" w:cs="Times New Roman"/>
          <w:kern w:val="1"/>
          <w:sz w:val="24"/>
        </w:rPr>
        <w:t>)</w:t>
      </w:r>
      <w:r>
        <w:rPr>
          <w:rFonts w:ascii="Times New Roman" w:hAnsi="宋体" w:cs="Times New Roman"/>
          <w:kern w:val="1"/>
          <w:sz w:val="24"/>
        </w:rPr>
        <w:t>实现消费品零售额</w:t>
      </w:r>
      <w:r>
        <w:rPr>
          <w:rFonts w:ascii="Times New Roman" w:hAnsi="Times New Roman" w:cs="Times New Roman"/>
          <w:kern w:val="1"/>
          <w:sz w:val="24"/>
        </w:rPr>
        <w:t>321.04</w:t>
      </w:r>
      <w:r>
        <w:rPr>
          <w:rFonts w:ascii="Times New Roman" w:hAnsi="宋体" w:cs="Times New Roman"/>
          <w:kern w:val="1"/>
          <w:sz w:val="24"/>
        </w:rPr>
        <w:t>亿元，同比增长</w:t>
      </w:r>
      <w:r>
        <w:rPr>
          <w:rFonts w:ascii="Times New Roman" w:hAnsi="Times New Roman" w:cs="Times New Roman"/>
          <w:kern w:val="1"/>
          <w:sz w:val="24"/>
        </w:rPr>
        <w:t>13.3%</w:t>
      </w:r>
      <w:r>
        <w:rPr>
          <w:rFonts w:ascii="Times New Roman" w:hAnsi="宋体" w:cs="Times New Roman"/>
          <w:kern w:val="1"/>
          <w:sz w:val="24"/>
        </w:rPr>
        <w:t>，限额以下企业和个体经营户实现零售额</w:t>
      </w:r>
      <w:r>
        <w:rPr>
          <w:rFonts w:ascii="Times New Roman" w:hAnsi="Times New Roman" w:cs="Times New Roman"/>
          <w:kern w:val="1"/>
          <w:sz w:val="24"/>
        </w:rPr>
        <w:t>773.06</w:t>
      </w:r>
      <w:r>
        <w:rPr>
          <w:rFonts w:ascii="Times New Roman" w:hAnsi="宋体" w:cs="Times New Roman"/>
          <w:kern w:val="1"/>
          <w:sz w:val="24"/>
        </w:rPr>
        <w:t>亿元，同比增长</w:t>
      </w:r>
      <w:r>
        <w:rPr>
          <w:rFonts w:ascii="Times New Roman" w:hAnsi="Times New Roman" w:cs="Times New Roman"/>
          <w:kern w:val="1"/>
          <w:sz w:val="24"/>
        </w:rPr>
        <w:t>11.8%</w:t>
      </w:r>
      <w:r>
        <w:rPr>
          <w:rFonts w:ascii="Times New Roman" w:hAnsi="宋体" w:cs="Times New Roman"/>
          <w:kern w:val="1"/>
          <w:sz w:val="24"/>
        </w:rPr>
        <w:t>。在限额以上批零贸易业中，食品、饮料、烟酒类等食用类商品零售增长</w:t>
      </w:r>
      <w:r>
        <w:rPr>
          <w:rFonts w:ascii="Times New Roman" w:hAnsi="Times New Roman" w:cs="Times New Roman"/>
          <w:kern w:val="1"/>
          <w:sz w:val="24"/>
        </w:rPr>
        <w:t>21.0%</w:t>
      </w:r>
      <w:r>
        <w:rPr>
          <w:rFonts w:ascii="Times New Roman" w:hAnsi="宋体" w:cs="Times New Roman"/>
          <w:kern w:val="1"/>
          <w:sz w:val="24"/>
        </w:rPr>
        <w:t>，服装、鞋帽、针纺织品类等穿着类商品零售增长</w:t>
      </w:r>
      <w:r>
        <w:rPr>
          <w:rFonts w:ascii="Times New Roman" w:hAnsi="Times New Roman" w:cs="Times New Roman"/>
          <w:kern w:val="1"/>
          <w:sz w:val="24"/>
        </w:rPr>
        <w:t>18.3%</w:t>
      </w:r>
      <w:r>
        <w:rPr>
          <w:rFonts w:ascii="Times New Roman" w:hAnsi="宋体" w:cs="Times New Roman"/>
          <w:kern w:val="1"/>
          <w:sz w:val="24"/>
        </w:rPr>
        <w:t>。</w:t>
      </w:r>
    </w:p>
    <w:p>
      <w:pPr>
        <w:spacing w:line="600" w:lineRule="exact"/>
        <w:ind w:firstLine="480" w:firstLineChars="200"/>
        <w:rPr>
          <w:rFonts w:ascii="Times New Roman" w:hAnsi="Times New Roman" w:cs="Times New Roman"/>
          <w:kern w:val="1"/>
          <w:sz w:val="24"/>
        </w:rPr>
      </w:pPr>
      <w:r>
        <w:rPr>
          <w:rFonts w:hint="eastAsia" w:ascii="Times New Roman" w:hAnsi="宋体" w:cs="Times New Roman"/>
          <w:kern w:val="1"/>
          <w:sz w:val="24"/>
        </w:rPr>
        <w:t>全年</w:t>
      </w:r>
      <w:r>
        <w:rPr>
          <w:rFonts w:ascii="Times New Roman" w:hAnsi="宋体" w:cs="Times New Roman"/>
          <w:kern w:val="1"/>
          <w:sz w:val="24"/>
        </w:rPr>
        <w:t>全市完成外贸进出口总值</w:t>
      </w:r>
      <w:r>
        <w:rPr>
          <w:rFonts w:ascii="Times New Roman" w:hAnsi="Times New Roman" w:cs="Times New Roman"/>
          <w:kern w:val="1"/>
          <w:sz w:val="24"/>
        </w:rPr>
        <w:t>78510</w:t>
      </w:r>
      <w:r>
        <w:rPr>
          <w:rFonts w:ascii="Times New Roman" w:hAnsi="宋体" w:cs="Times New Roman"/>
          <w:kern w:val="1"/>
          <w:sz w:val="24"/>
        </w:rPr>
        <w:t>万美元，同比增长</w:t>
      </w:r>
      <w:r>
        <w:rPr>
          <w:rFonts w:ascii="Times New Roman" w:hAnsi="Times New Roman" w:cs="Times New Roman"/>
          <w:kern w:val="1"/>
          <w:sz w:val="24"/>
        </w:rPr>
        <w:t>13.1%</w:t>
      </w:r>
      <w:r>
        <w:rPr>
          <w:rFonts w:ascii="Times New Roman" w:hAnsi="宋体" w:cs="Times New Roman"/>
          <w:kern w:val="1"/>
          <w:sz w:val="24"/>
        </w:rPr>
        <w:t>。其中：出口</w:t>
      </w:r>
      <w:r>
        <w:rPr>
          <w:rFonts w:ascii="Times New Roman" w:hAnsi="Times New Roman" w:cs="Times New Roman"/>
          <w:kern w:val="1"/>
          <w:sz w:val="24"/>
        </w:rPr>
        <w:t>59953</w:t>
      </w:r>
      <w:r>
        <w:rPr>
          <w:rFonts w:ascii="Times New Roman" w:hAnsi="宋体" w:cs="Times New Roman"/>
          <w:kern w:val="1"/>
          <w:sz w:val="24"/>
        </w:rPr>
        <w:t>万美元，同比增长</w:t>
      </w:r>
      <w:r>
        <w:rPr>
          <w:rFonts w:ascii="Times New Roman" w:hAnsi="Times New Roman" w:cs="Times New Roman"/>
          <w:kern w:val="1"/>
          <w:sz w:val="24"/>
        </w:rPr>
        <w:t>12.8%</w:t>
      </w:r>
      <w:r>
        <w:rPr>
          <w:rFonts w:ascii="Times New Roman" w:hAnsi="宋体" w:cs="Times New Roman"/>
          <w:kern w:val="1"/>
          <w:sz w:val="24"/>
        </w:rPr>
        <w:t>，进口</w:t>
      </w:r>
      <w:r>
        <w:rPr>
          <w:rFonts w:ascii="Times New Roman" w:hAnsi="Times New Roman" w:cs="Times New Roman"/>
          <w:kern w:val="1"/>
          <w:sz w:val="24"/>
        </w:rPr>
        <w:t xml:space="preserve"> 18557</w:t>
      </w:r>
      <w:r>
        <w:rPr>
          <w:rFonts w:ascii="Times New Roman" w:hAnsi="宋体" w:cs="Times New Roman"/>
          <w:kern w:val="1"/>
          <w:sz w:val="24"/>
        </w:rPr>
        <w:t>万美元，同比增长</w:t>
      </w:r>
      <w:r>
        <w:rPr>
          <w:rFonts w:ascii="Times New Roman" w:hAnsi="Times New Roman" w:cs="Times New Roman"/>
          <w:kern w:val="1"/>
          <w:sz w:val="24"/>
        </w:rPr>
        <w:t>14.1%</w:t>
      </w:r>
      <w:r>
        <w:rPr>
          <w:rFonts w:ascii="Times New Roman" w:hAnsi="宋体" w:cs="Times New Roman"/>
          <w:kern w:val="1"/>
          <w:sz w:val="24"/>
        </w:rPr>
        <w:t>。</w:t>
      </w:r>
    </w:p>
    <w:p>
      <w:pPr>
        <w:rPr>
          <w:rFonts w:ascii="Times New Roman" w:hAnsi="Times New Roman" w:cs="Times New Roman"/>
        </w:rPr>
      </w:pPr>
    </w:p>
    <w:p>
      <w:pPr>
        <w:widowControl/>
        <w:spacing w:line="600" w:lineRule="exact"/>
        <w:jc w:val="center"/>
        <w:rPr>
          <w:rFonts w:ascii="Times New Roman" w:hAnsi="Times New Roman" w:cs="Times New Roman"/>
          <w:b/>
          <w:color w:val="333333"/>
          <w:sz w:val="24"/>
        </w:rPr>
      </w:pPr>
      <w:r>
        <w:rPr>
          <w:rFonts w:ascii="Times New Roman" w:hAnsi="宋体" w:cs="Times New Roman"/>
          <w:b/>
          <w:bCs/>
          <w:color w:val="333333"/>
          <w:sz w:val="24"/>
        </w:rPr>
        <w:t>六、交通、邮电和旅游</w:t>
      </w:r>
    </w:p>
    <w:p>
      <w:pPr>
        <w:spacing w:line="600" w:lineRule="exact"/>
        <w:ind w:firstLine="480" w:firstLineChars="200"/>
        <w:rPr>
          <w:rFonts w:ascii="Times New Roman" w:hAnsi="Times New Roman" w:cs="Times New Roman"/>
          <w:color w:val="C00000"/>
          <w:kern w:val="1"/>
          <w:sz w:val="24"/>
          <w:lang w:val="zh-CN"/>
        </w:rPr>
      </w:pPr>
      <w:r>
        <w:rPr>
          <w:rFonts w:hint="eastAsia" w:ascii="Times New Roman" w:hAnsi="宋体" w:cs="Times New Roman"/>
          <w:kern w:val="1"/>
          <w:sz w:val="24"/>
          <w:lang w:val="zh-CN"/>
        </w:rPr>
        <w:t>年末</w:t>
      </w:r>
      <w:r>
        <w:rPr>
          <w:rFonts w:ascii="Times New Roman" w:hAnsi="宋体" w:cs="Times New Roman"/>
          <w:kern w:val="1"/>
          <w:sz w:val="24"/>
          <w:lang w:val="zh-CN"/>
        </w:rPr>
        <w:t>全社会货运量</w:t>
      </w:r>
      <w:r>
        <w:rPr>
          <w:rFonts w:ascii="Times New Roman" w:hAnsi="Times New Roman" w:cs="Times New Roman"/>
          <w:kern w:val="1"/>
          <w:sz w:val="24"/>
          <w:lang w:val="zh-CN"/>
        </w:rPr>
        <w:t>18055</w:t>
      </w:r>
      <w:r>
        <w:rPr>
          <w:rFonts w:ascii="Times New Roman" w:hAnsi="宋体" w:cs="Times New Roman"/>
          <w:kern w:val="1"/>
          <w:sz w:val="24"/>
          <w:lang w:val="zh-CN"/>
        </w:rPr>
        <w:t>万吨，同比增长5.2%，货物周转量6416980万吨/公里，同比增长5.3%，客运量5959万人，同比下降7.3%，旅客周转量527998万人/公里，同比增长2.1%。其中铁路货运量2614万吨，同比增长6%，货物周转量389000万吨/公里，同比下降7%，客运量 132万人，同比增长 10%，客运周转量10720万人/公里，同比增长11%；公路货运量</w:t>
      </w:r>
      <w:r>
        <w:rPr>
          <w:rFonts w:ascii="Times New Roman" w:hAnsi="Times New Roman" w:cs="Times New Roman"/>
          <w:kern w:val="1"/>
          <w:sz w:val="24"/>
          <w:lang w:val="zh-CN"/>
        </w:rPr>
        <w:t>13015</w:t>
      </w:r>
      <w:r>
        <w:rPr>
          <w:rFonts w:ascii="Times New Roman" w:hAnsi="宋体" w:cs="Times New Roman"/>
          <w:kern w:val="1"/>
          <w:sz w:val="24"/>
          <w:lang w:val="zh-CN"/>
        </w:rPr>
        <w:t>万吨，同比增长</w:t>
      </w:r>
      <w:r>
        <w:rPr>
          <w:rFonts w:ascii="Times New Roman" w:hAnsi="Times New Roman" w:cs="Times New Roman"/>
          <w:kern w:val="1"/>
          <w:sz w:val="24"/>
          <w:lang w:val="zh-CN"/>
        </w:rPr>
        <w:t>7.4%</w:t>
      </w:r>
      <w:r>
        <w:rPr>
          <w:rFonts w:ascii="Times New Roman" w:hAnsi="宋体" w:cs="Times New Roman"/>
          <w:kern w:val="1"/>
          <w:sz w:val="24"/>
          <w:lang w:val="zh-CN"/>
        </w:rPr>
        <w:t>；货物周转量</w:t>
      </w:r>
      <w:r>
        <w:rPr>
          <w:rFonts w:ascii="Times New Roman" w:hAnsi="Times New Roman" w:cs="Times New Roman"/>
          <w:kern w:val="1"/>
          <w:sz w:val="24"/>
          <w:lang w:val="zh-CN"/>
        </w:rPr>
        <w:t>4833296</w:t>
      </w:r>
      <w:r>
        <w:rPr>
          <w:rFonts w:ascii="Times New Roman" w:hAnsi="宋体" w:cs="Times New Roman"/>
          <w:kern w:val="1"/>
          <w:sz w:val="24"/>
          <w:lang w:val="zh-CN"/>
        </w:rPr>
        <w:t>万吨</w:t>
      </w:r>
      <w:r>
        <w:rPr>
          <w:rFonts w:ascii="Times New Roman" w:hAnsi="Times New Roman" w:cs="Times New Roman"/>
          <w:kern w:val="1"/>
          <w:sz w:val="24"/>
          <w:lang w:val="zh-CN"/>
        </w:rPr>
        <w:t>/</w:t>
      </w:r>
      <w:r>
        <w:rPr>
          <w:rFonts w:ascii="Times New Roman" w:hAnsi="宋体" w:cs="Times New Roman"/>
          <w:kern w:val="1"/>
          <w:sz w:val="24"/>
          <w:lang w:val="zh-CN"/>
        </w:rPr>
        <w:t>公里，同比增长</w:t>
      </w:r>
      <w:r>
        <w:rPr>
          <w:rFonts w:ascii="Times New Roman" w:hAnsi="Times New Roman" w:cs="Times New Roman"/>
          <w:kern w:val="1"/>
          <w:sz w:val="24"/>
          <w:lang w:val="zh-CN"/>
        </w:rPr>
        <w:t>5.7%</w:t>
      </w:r>
      <w:r>
        <w:rPr>
          <w:rFonts w:ascii="Times New Roman" w:hAnsi="宋体" w:cs="Times New Roman"/>
          <w:kern w:val="1"/>
          <w:sz w:val="24"/>
          <w:lang w:val="zh-CN"/>
        </w:rPr>
        <w:t>；客运量</w:t>
      </w:r>
      <w:r>
        <w:rPr>
          <w:rFonts w:ascii="Times New Roman" w:hAnsi="Times New Roman" w:cs="Times New Roman"/>
          <w:kern w:val="1"/>
          <w:sz w:val="24"/>
          <w:lang w:val="zh-CN"/>
        </w:rPr>
        <w:t>5778</w:t>
      </w:r>
      <w:r>
        <w:rPr>
          <w:rFonts w:ascii="Times New Roman" w:hAnsi="宋体" w:cs="Times New Roman"/>
          <w:kern w:val="1"/>
          <w:sz w:val="24"/>
          <w:lang w:val="zh-CN"/>
        </w:rPr>
        <w:t>万人，同比下降</w:t>
      </w:r>
      <w:r>
        <w:rPr>
          <w:rFonts w:ascii="Times New Roman" w:hAnsi="Times New Roman" w:cs="Times New Roman"/>
          <w:kern w:val="1"/>
          <w:sz w:val="24"/>
        </w:rPr>
        <w:t xml:space="preserve"> </w:t>
      </w:r>
      <w:r>
        <w:rPr>
          <w:rFonts w:ascii="Times New Roman" w:hAnsi="Times New Roman" w:cs="Times New Roman"/>
          <w:kern w:val="1"/>
          <w:sz w:val="24"/>
          <w:lang w:val="zh-CN"/>
        </w:rPr>
        <w:t>8.1%</w:t>
      </w:r>
      <w:r>
        <w:rPr>
          <w:rFonts w:ascii="Times New Roman" w:hAnsi="宋体" w:cs="Times New Roman"/>
          <w:kern w:val="1"/>
          <w:sz w:val="24"/>
          <w:lang w:val="zh-CN"/>
        </w:rPr>
        <w:t>；旅客周转量</w:t>
      </w:r>
      <w:r>
        <w:rPr>
          <w:rFonts w:ascii="Times New Roman" w:hAnsi="Times New Roman" w:cs="Times New Roman"/>
          <w:kern w:val="1"/>
          <w:sz w:val="24"/>
          <w:lang w:val="zh-CN"/>
        </w:rPr>
        <w:t>507166</w:t>
      </w:r>
      <w:r>
        <w:rPr>
          <w:rFonts w:ascii="Times New Roman" w:hAnsi="宋体" w:cs="Times New Roman"/>
          <w:kern w:val="1"/>
          <w:sz w:val="24"/>
          <w:lang w:val="zh-CN"/>
        </w:rPr>
        <w:t>万人</w:t>
      </w:r>
      <w:r>
        <w:rPr>
          <w:rFonts w:ascii="Times New Roman" w:hAnsi="Times New Roman" w:cs="Times New Roman"/>
          <w:kern w:val="1"/>
          <w:sz w:val="24"/>
          <w:lang w:val="zh-CN"/>
        </w:rPr>
        <w:t>/</w:t>
      </w:r>
      <w:r>
        <w:rPr>
          <w:rFonts w:ascii="Times New Roman" w:hAnsi="宋体" w:cs="Times New Roman"/>
          <w:kern w:val="1"/>
          <w:sz w:val="24"/>
          <w:lang w:val="zh-CN"/>
        </w:rPr>
        <w:t>公里，同比增长</w:t>
      </w:r>
      <w:r>
        <w:rPr>
          <w:rFonts w:ascii="Times New Roman" w:hAnsi="Times New Roman" w:cs="Times New Roman"/>
          <w:kern w:val="1"/>
          <w:sz w:val="24"/>
          <w:lang w:val="zh-CN"/>
        </w:rPr>
        <w:t>2%</w:t>
      </w:r>
      <w:r>
        <w:rPr>
          <w:rFonts w:ascii="Times New Roman" w:hAnsi="宋体" w:cs="Times New Roman"/>
          <w:kern w:val="1"/>
          <w:sz w:val="24"/>
          <w:lang w:val="zh-CN"/>
        </w:rPr>
        <w:t>。水运货运量</w:t>
      </w:r>
      <w:r>
        <w:rPr>
          <w:rFonts w:ascii="Times New Roman" w:hAnsi="Times New Roman" w:cs="Times New Roman"/>
          <w:kern w:val="1"/>
          <w:sz w:val="24"/>
          <w:lang w:val="zh-CN"/>
        </w:rPr>
        <w:t>2426</w:t>
      </w:r>
      <w:r>
        <w:rPr>
          <w:rFonts w:ascii="Times New Roman" w:hAnsi="宋体" w:cs="Times New Roman"/>
          <w:kern w:val="1"/>
          <w:sz w:val="24"/>
          <w:lang w:val="zh-CN"/>
        </w:rPr>
        <w:t>万吨，同比增长</w:t>
      </w:r>
      <w:r>
        <w:rPr>
          <w:rFonts w:ascii="Times New Roman" w:hAnsi="Times New Roman" w:cs="Times New Roman"/>
          <w:kern w:val="1"/>
          <w:sz w:val="24"/>
          <w:lang w:val="zh-CN"/>
        </w:rPr>
        <w:t>2%</w:t>
      </w:r>
      <w:r>
        <w:rPr>
          <w:rFonts w:ascii="Times New Roman" w:hAnsi="宋体" w:cs="Times New Roman"/>
          <w:kern w:val="1"/>
          <w:sz w:val="24"/>
          <w:lang w:val="zh-CN"/>
        </w:rPr>
        <w:t>；货物周转量</w:t>
      </w:r>
      <w:r>
        <w:rPr>
          <w:rFonts w:ascii="Times New Roman" w:hAnsi="Times New Roman" w:cs="Times New Roman"/>
          <w:kern w:val="1"/>
          <w:sz w:val="24"/>
          <w:lang w:val="zh-CN"/>
        </w:rPr>
        <w:t>1194684</w:t>
      </w:r>
      <w:r>
        <w:rPr>
          <w:rFonts w:ascii="Times New Roman" w:hAnsi="宋体" w:cs="Times New Roman"/>
          <w:kern w:val="1"/>
          <w:sz w:val="24"/>
          <w:lang w:val="zh-CN"/>
        </w:rPr>
        <w:t>万吨</w:t>
      </w:r>
      <w:r>
        <w:rPr>
          <w:rFonts w:ascii="Times New Roman" w:hAnsi="Times New Roman" w:cs="Times New Roman"/>
          <w:kern w:val="1"/>
          <w:sz w:val="24"/>
          <w:lang w:val="zh-CN"/>
        </w:rPr>
        <w:t>/</w:t>
      </w:r>
      <w:r>
        <w:rPr>
          <w:rFonts w:ascii="Times New Roman" w:hAnsi="宋体" w:cs="Times New Roman"/>
          <w:kern w:val="1"/>
          <w:sz w:val="24"/>
          <w:lang w:val="zh-CN"/>
        </w:rPr>
        <w:t>公里，同比增长</w:t>
      </w:r>
      <w:r>
        <w:rPr>
          <w:rFonts w:ascii="Times New Roman" w:hAnsi="Times New Roman" w:cs="Times New Roman"/>
          <w:kern w:val="1"/>
          <w:sz w:val="24"/>
          <w:lang w:val="zh-CN"/>
        </w:rPr>
        <w:t>7%</w:t>
      </w:r>
      <w:r>
        <w:rPr>
          <w:rFonts w:ascii="Times New Roman" w:hAnsi="宋体" w:cs="Times New Roman"/>
          <w:kern w:val="1"/>
          <w:sz w:val="24"/>
          <w:lang w:val="zh-CN"/>
        </w:rPr>
        <w:t>；客运量</w:t>
      </w:r>
      <w:r>
        <w:rPr>
          <w:rFonts w:ascii="Times New Roman" w:hAnsi="Times New Roman" w:cs="Times New Roman"/>
          <w:kern w:val="1"/>
          <w:sz w:val="24"/>
          <w:lang w:val="zh-CN"/>
        </w:rPr>
        <w:t>46.18</w:t>
      </w:r>
      <w:r>
        <w:rPr>
          <w:rFonts w:ascii="Times New Roman" w:hAnsi="宋体" w:cs="Times New Roman"/>
          <w:kern w:val="1"/>
          <w:sz w:val="24"/>
          <w:lang w:val="zh-CN"/>
        </w:rPr>
        <w:t>万人，同比持平；旅客周转量</w:t>
      </w:r>
      <w:r>
        <w:rPr>
          <w:rFonts w:ascii="Times New Roman" w:hAnsi="Times New Roman" w:cs="Times New Roman"/>
          <w:kern w:val="1"/>
          <w:sz w:val="24"/>
          <w:lang w:val="zh-CN"/>
        </w:rPr>
        <w:t>231.15</w:t>
      </w:r>
      <w:r>
        <w:rPr>
          <w:rFonts w:ascii="Times New Roman" w:hAnsi="宋体" w:cs="Times New Roman"/>
          <w:kern w:val="1"/>
          <w:sz w:val="24"/>
          <w:lang w:val="zh-CN"/>
        </w:rPr>
        <w:t>万人</w:t>
      </w:r>
      <w:r>
        <w:rPr>
          <w:rFonts w:ascii="Times New Roman" w:hAnsi="Times New Roman" w:cs="Times New Roman"/>
          <w:kern w:val="1"/>
          <w:sz w:val="24"/>
          <w:lang w:val="zh-CN"/>
        </w:rPr>
        <w:t>/</w:t>
      </w:r>
      <w:r>
        <w:rPr>
          <w:rFonts w:ascii="Times New Roman" w:hAnsi="宋体" w:cs="Times New Roman"/>
          <w:kern w:val="1"/>
          <w:sz w:val="24"/>
          <w:lang w:val="zh-CN"/>
        </w:rPr>
        <w:t>公里，同比持平。</w:t>
      </w:r>
    </w:p>
    <w:p>
      <w:pPr>
        <w:spacing w:line="600" w:lineRule="exact"/>
        <w:ind w:firstLine="480" w:firstLineChars="200"/>
        <w:rPr>
          <w:rFonts w:ascii="Times New Roman" w:hAnsi="Times New Roman" w:cs="Times New Roman"/>
          <w:kern w:val="1"/>
          <w:sz w:val="24"/>
          <w:lang w:val="zh-CN"/>
        </w:rPr>
      </w:pPr>
      <w:r>
        <w:rPr>
          <w:rFonts w:hint="eastAsia" w:ascii="Times New Roman" w:hAnsi="宋体" w:cs="Times New Roman"/>
          <w:kern w:val="1"/>
          <w:sz w:val="24"/>
          <w:lang w:val="zh-CN"/>
        </w:rPr>
        <w:t>全年</w:t>
      </w:r>
      <w:r>
        <w:rPr>
          <w:rFonts w:ascii="Times New Roman" w:hAnsi="宋体" w:cs="Times New Roman"/>
          <w:kern w:val="1"/>
          <w:sz w:val="24"/>
          <w:lang w:val="zh-CN"/>
        </w:rPr>
        <w:t>全市完成邮政业务总量</w:t>
      </w:r>
      <w:r>
        <w:rPr>
          <w:rFonts w:ascii="Times New Roman" w:hAnsi="Times New Roman" w:cs="Times New Roman"/>
          <w:kern w:val="1"/>
          <w:sz w:val="24"/>
        </w:rPr>
        <w:t>6.71</w:t>
      </w:r>
      <w:r>
        <w:rPr>
          <w:rFonts w:ascii="Times New Roman" w:hAnsi="宋体" w:cs="Times New Roman"/>
          <w:kern w:val="1"/>
          <w:sz w:val="24"/>
          <w:lang w:val="zh-CN"/>
        </w:rPr>
        <w:t>亿元；移动业务总量</w:t>
      </w:r>
      <w:r>
        <w:rPr>
          <w:rFonts w:ascii="Times New Roman" w:hAnsi="Times New Roman" w:cs="Times New Roman"/>
          <w:kern w:val="1"/>
          <w:sz w:val="24"/>
        </w:rPr>
        <w:t>80.1</w:t>
      </w:r>
      <w:r>
        <w:rPr>
          <w:rFonts w:ascii="Times New Roman" w:hAnsi="宋体" w:cs="Times New Roman"/>
          <w:kern w:val="1"/>
          <w:sz w:val="24"/>
          <w:lang w:val="zh-CN"/>
        </w:rPr>
        <w:t>亿元，联通业务总量</w:t>
      </w:r>
      <w:r>
        <w:rPr>
          <w:rFonts w:ascii="Times New Roman" w:hAnsi="Times New Roman" w:cs="Times New Roman"/>
          <w:kern w:val="1"/>
          <w:sz w:val="24"/>
        </w:rPr>
        <w:t>32.75</w:t>
      </w:r>
      <w:r>
        <w:rPr>
          <w:rFonts w:ascii="Times New Roman" w:hAnsi="宋体" w:cs="Times New Roman"/>
          <w:kern w:val="1"/>
          <w:sz w:val="24"/>
          <w:lang w:val="zh-CN"/>
        </w:rPr>
        <w:t>亿元。</w:t>
      </w:r>
      <w:r>
        <w:rPr>
          <w:rFonts w:ascii="Times New Roman" w:hAnsi="Times New Roman" w:cs="Times New Roman"/>
          <w:kern w:val="1"/>
          <w:sz w:val="24"/>
          <w:lang w:val="zh-CN"/>
        </w:rPr>
        <w:t xml:space="preserve">  </w:t>
      </w:r>
    </w:p>
    <w:p>
      <w:pPr>
        <w:spacing w:line="600" w:lineRule="exact"/>
        <w:ind w:firstLine="480" w:firstLineChars="200"/>
        <w:rPr>
          <w:rFonts w:hint="default" w:ascii="Times New Roman" w:hAnsi="Times New Roman" w:cs="Times New Roman"/>
          <w:sz w:val="24"/>
          <w:lang w:val="en-US" w:eastAsia="zh-CN"/>
        </w:rPr>
      </w:pPr>
      <w:r>
        <w:rPr>
          <w:rFonts w:hint="eastAsia" w:ascii="Times New Roman" w:hAnsi="Times New Roman" w:cs="Times New Roman"/>
          <w:sz w:val="24"/>
          <w:lang w:val="en-US" w:eastAsia="zh-CN"/>
        </w:rPr>
        <w:t>全年全市共接待游客2479万人次。其中：接待国内游客2475万人次；接待入境游客4.18万人次。旅游综合收入115.3亿元。其中：国内旅游收入114.6亿元；旅游创汇收入1325万美元。全市共有A级景区24家。其中：4A级景区1家；3A级景区10家；2A级景区13家。旅行社39家。星级饭店14家。</w:t>
      </w:r>
    </w:p>
    <w:p>
      <w:pPr>
        <w:spacing w:line="600" w:lineRule="exact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宋体" w:cs="Times New Roman"/>
          <w:b/>
          <w:bCs/>
          <w:color w:val="333333"/>
          <w:sz w:val="24"/>
        </w:rPr>
        <w:t>七、财政与金融</w:t>
      </w:r>
    </w:p>
    <w:p>
      <w:pPr>
        <w:spacing w:line="600" w:lineRule="exact"/>
        <w:ind w:firstLine="480" w:firstLineChars="200"/>
        <w:rPr>
          <w:rFonts w:ascii="Times New Roman" w:hAnsi="Times New Roman" w:cs="Times New Roman"/>
          <w:kern w:val="1"/>
          <w:sz w:val="24"/>
        </w:rPr>
      </w:pPr>
      <w:r>
        <w:rPr>
          <w:rFonts w:hint="eastAsia" w:ascii="Times New Roman" w:hAnsi="宋体" w:cs="Times New Roman"/>
          <w:kern w:val="1"/>
          <w:sz w:val="24"/>
        </w:rPr>
        <w:t>全年</w:t>
      </w:r>
      <w:r>
        <w:rPr>
          <w:rFonts w:ascii="Times New Roman" w:hAnsi="宋体" w:cs="Times New Roman"/>
          <w:kern w:val="1"/>
          <w:sz w:val="24"/>
        </w:rPr>
        <w:t>全市一般公共预算收入完成</w:t>
      </w:r>
      <w:r>
        <w:rPr>
          <w:rFonts w:ascii="Times New Roman" w:hAnsi="Times New Roman" w:cs="Times New Roman"/>
          <w:kern w:val="1"/>
          <w:sz w:val="24"/>
        </w:rPr>
        <w:t>103.86</w:t>
      </w:r>
      <w:r>
        <w:rPr>
          <w:rFonts w:ascii="Times New Roman" w:hAnsi="宋体" w:cs="Times New Roman"/>
          <w:kern w:val="1"/>
          <w:sz w:val="24"/>
        </w:rPr>
        <w:t>亿元，同比增长</w:t>
      </w:r>
      <w:r>
        <w:rPr>
          <w:rFonts w:ascii="Times New Roman" w:hAnsi="Times New Roman" w:cs="Times New Roman"/>
          <w:kern w:val="1"/>
          <w:sz w:val="24"/>
        </w:rPr>
        <w:t>7.7%</w:t>
      </w:r>
      <w:r>
        <w:rPr>
          <w:rFonts w:ascii="Times New Roman" w:hAnsi="宋体" w:cs="Times New Roman"/>
          <w:kern w:val="1"/>
          <w:sz w:val="24"/>
        </w:rPr>
        <w:t>，增收</w:t>
      </w:r>
      <w:r>
        <w:rPr>
          <w:rFonts w:ascii="Times New Roman" w:hAnsi="Times New Roman" w:cs="Times New Roman"/>
          <w:kern w:val="1"/>
          <w:sz w:val="24"/>
        </w:rPr>
        <w:t>7.46</w:t>
      </w:r>
      <w:r>
        <w:rPr>
          <w:rFonts w:ascii="Times New Roman" w:hAnsi="宋体" w:cs="Times New Roman"/>
          <w:kern w:val="1"/>
          <w:sz w:val="24"/>
        </w:rPr>
        <w:t>亿元。其中，税收收入完成</w:t>
      </w:r>
      <w:r>
        <w:rPr>
          <w:rFonts w:ascii="Times New Roman" w:hAnsi="Times New Roman" w:cs="Times New Roman"/>
          <w:kern w:val="1"/>
          <w:sz w:val="24"/>
        </w:rPr>
        <w:t>69.40</w:t>
      </w:r>
      <w:r>
        <w:rPr>
          <w:rFonts w:ascii="Times New Roman" w:hAnsi="宋体" w:cs="Times New Roman"/>
          <w:kern w:val="1"/>
          <w:sz w:val="24"/>
        </w:rPr>
        <w:t>亿元，同比增长</w:t>
      </w:r>
      <w:r>
        <w:rPr>
          <w:rFonts w:ascii="Times New Roman" w:hAnsi="Times New Roman" w:cs="Times New Roman"/>
          <w:kern w:val="1"/>
          <w:sz w:val="24"/>
        </w:rPr>
        <w:t>10.4%</w:t>
      </w:r>
      <w:r>
        <w:rPr>
          <w:rFonts w:ascii="Times New Roman" w:hAnsi="宋体" w:cs="Times New Roman"/>
          <w:kern w:val="1"/>
          <w:sz w:val="24"/>
        </w:rPr>
        <w:t>，税收收入占一般公共预算收入的比重为</w:t>
      </w:r>
      <w:r>
        <w:rPr>
          <w:rFonts w:ascii="Times New Roman" w:hAnsi="Times New Roman" w:cs="Times New Roman"/>
          <w:kern w:val="1"/>
          <w:sz w:val="24"/>
        </w:rPr>
        <w:t>66.8%</w:t>
      </w:r>
      <w:r>
        <w:rPr>
          <w:rFonts w:ascii="Times New Roman" w:hAnsi="宋体" w:cs="Times New Roman"/>
          <w:kern w:val="1"/>
          <w:sz w:val="24"/>
        </w:rPr>
        <w:t>。一般公共预算支出</w:t>
      </w:r>
      <w:r>
        <w:rPr>
          <w:rFonts w:ascii="Times New Roman" w:hAnsi="Times New Roman" w:cs="Times New Roman"/>
          <w:kern w:val="1"/>
          <w:sz w:val="24"/>
        </w:rPr>
        <w:t>475.50</w:t>
      </w:r>
      <w:r>
        <w:rPr>
          <w:rFonts w:ascii="Times New Roman" w:hAnsi="宋体" w:cs="Times New Roman"/>
          <w:kern w:val="1"/>
          <w:sz w:val="24"/>
        </w:rPr>
        <w:t>亿元，同比增长</w:t>
      </w:r>
      <w:r>
        <w:rPr>
          <w:rFonts w:ascii="Times New Roman" w:hAnsi="Times New Roman" w:cs="Times New Roman"/>
          <w:kern w:val="1"/>
          <w:sz w:val="24"/>
        </w:rPr>
        <w:t>9.5%</w:t>
      </w:r>
      <w:r>
        <w:rPr>
          <w:rFonts w:ascii="Times New Roman" w:hAnsi="宋体" w:cs="Times New Roman"/>
          <w:kern w:val="1"/>
          <w:sz w:val="24"/>
        </w:rPr>
        <w:t>，增支</w:t>
      </w:r>
      <w:r>
        <w:rPr>
          <w:rFonts w:ascii="Times New Roman" w:hAnsi="Times New Roman" w:cs="Times New Roman"/>
          <w:kern w:val="1"/>
          <w:sz w:val="24"/>
        </w:rPr>
        <w:t>41.38</w:t>
      </w:r>
      <w:r>
        <w:rPr>
          <w:rFonts w:ascii="Times New Roman" w:hAnsi="宋体" w:cs="Times New Roman"/>
          <w:kern w:val="1"/>
          <w:sz w:val="24"/>
        </w:rPr>
        <w:t>亿元。</w:t>
      </w:r>
    </w:p>
    <w:p>
      <w:pPr>
        <w:spacing w:line="600" w:lineRule="exact"/>
        <w:ind w:firstLine="480" w:firstLineChars="200"/>
        <w:rPr>
          <w:rFonts w:ascii="Times New Roman" w:hAnsi="Times New Roman" w:cs="Times New Roman"/>
          <w:kern w:val="1"/>
          <w:sz w:val="24"/>
        </w:rPr>
      </w:pPr>
      <w:r>
        <w:rPr>
          <w:rFonts w:hint="eastAsia" w:ascii="Times New Roman" w:hAnsi="宋体" w:cs="Times New Roman"/>
          <w:kern w:val="1"/>
          <w:sz w:val="24"/>
        </w:rPr>
        <w:t>年末</w:t>
      </w:r>
      <w:r>
        <w:rPr>
          <w:rFonts w:ascii="Times New Roman" w:hAnsi="宋体" w:cs="Times New Roman"/>
          <w:kern w:val="1"/>
          <w:sz w:val="24"/>
        </w:rPr>
        <w:t>全市金融机构各项存款余额</w:t>
      </w:r>
      <w:r>
        <w:rPr>
          <w:rFonts w:ascii="Times New Roman" w:hAnsi="Times New Roman" w:eastAsia="宋体" w:cs="Times New Roman"/>
          <w:color w:val="000000"/>
          <w:sz w:val="24"/>
          <w:shd w:val="clear" w:color="auto" w:fill="FFFFFF"/>
        </w:rPr>
        <w:t>2396.73</w:t>
      </w:r>
      <w:r>
        <w:rPr>
          <w:rFonts w:ascii="Times New Roman" w:hAnsi="宋体" w:cs="Times New Roman"/>
          <w:kern w:val="1"/>
          <w:sz w:val="24"/>
        </w:rPr>
        <w:t>亿元，</w:t>
      </w:r>
      <w:r>
        <w:rPr>
          <w:rFonts w:hint="eastAsia" w:ascii="Times New Roman" w:hAnsi="宋体" w:cs="Times New Roman"/>
          <w:kern w:val="1"/>
          <w:sz w:val="24"/>
        </w:rPr>
        <w:t>比年初</w:t>
      </w:r>
      <w:r>
        <w:rPr>
          <w:rFonts w:ascii="Times New Roman" w:hAnsi="宋体" w:cs="Times New Roman"/>
          <w:kern w:val="1"/>
          <w:sz w:val="24"/>
        </w:rPr>
        <w:t>增加</w:t>
      </w:r>
      <w:r>
        <w:rPr>
          <w:rFonts w:ascii="Times New Roman" w:hAnsi="Times New Roman" w:eastAsia="宋体" w:cs="Times New Roman"/>
          <w:color w:val="000000"/>
          <w:sz w:val="24"/>
          <w:shd w:val="clear" w:color="auto" w:fill="FFFFFF"/>
        </w:rPr>
        <w:t>286.81</w:t>
      </w:r>
      <w:r>
        <w:rPr>
          <w:rFonts w:ascii="Times New Roman" w:hAnsi="宋体" w:cs="Times New Roman"/>
          <w:kern w:val="1"/>
          <w:sz w:val="24"/>
        </w:rPr>
        <w:t>亿元，增长</w:t>
      </w:r>
      <w:r>
        <w:rPr>
          <w:rFonts w:ascii="Times New Roman" w:hAnsi="Times New Roman" w:cs="Times New Roman"/>
          <w:kern w:val="1"/>
          <w:sz w:val="24"/>
        </w:rPr>
        <w:t>13.6%</w:t>
      </w:r>
      <w:r>
        <w:rPr>
          <w:rFonts w:ascii="Times New Roman" w:hAnsi="宋体" w:cs="Times New Roman"/>
          <w:kern w:val="1"/>
          <w:sz w:val="24"/>
        </w:rPr>
        <w:t>。其中，住户存款余额</w:t>
      </w:r>
      <w:r>
        <w:rPr>
          <w:rFonts w:ascii="Times New Roman" w:hAnsi="Times New Roman" w:eastAsia="宋体" w:cs="Times New Roman"/>
          <w:color w:val="000000"/>
          <w:sz w:val="24"/>
          <w:shd w:val="clear" w:color="auto" w:fill="FFFFFF"/>
        </w:rPr>
        <w:t>1952.17</w:t>
      </w:r>
      <w:r>
        <w:rPr>
          <w:rFonts w:ascii="Times New Roman" w:hAnsi="宋体" w:cs="Times New Roman"/>
          <w:kern w:val="1"/>
          <w:sz w:val="24"/>
        </w:rPr>
        <w:t>亿元，</w:t>
      </w:r>
      <w:r>
        <w:rPr>
          <w:rFonts w:hint="eastAsia" w:ascii="Times New Roman" w:hAnsi="宋体" w:cs="Times New Roman"/>
          <w:kern w:val="1"/>
          <w:sz w:val="24"/>
        </w:rPr>
        <w:t>比年初</w:t>
      </w:r>
      <w:r>
        <w:rPr>
          <w:rFonts w:ascii="Times New Roman" w:hAnsi="宋体" w:cs="Times New Roman"/>
          <w:kern w:val="1"/>
          <w:sz w:val="24"/>
        </w:rPr>
        <w:t>增加</w:t>
      </w:r>
      <w:r>
        <w:rPr>
          <w:rFonts w:ascii="Times New Roman" w:hAnsi="Times New Roman" w:eastAsia="宋体" w:cs="Times New Roman"/>
          <w:color w:val="000000"/>
          <w:sz w:val="24"/>
          <w:shd w:val="clear" w:color="auto" w:fill="FFFFFF"/>
        </w:rPr>
        <w:t>220.37</w:t>
      </w:r>
      <w:r>
        <w:rPr>
          <w:rFonts w:ascii="Times New Roman" w:hAnsi="宋体" w:cs="Times New Roman"/>
          <w:kern w:val="1"/>
          <w:sz w:val="24"/>
        </w:rPr>
        <w:t>亿元，增长</w:t>
      </w:r>
      <w:r>
        <w:rPr>
          <w:rFonts w:ascii="Times New Roman" w:hAnsi="Times New Roman" w:cs="Times New Roman"/>
          <w:kern w:val="1"/>
          <w:sz w:val="24"/>
        </w:rPr>
        <w:t>12.7%</w:t>
      </w:r>
      <w:r>
        <w:rPr>
          <w:rFonts w:ascii="Times New Roman" w:hAnsi="宋体" w:cs="Times New Roman"/>
          <w:kern w:val="1"/>
          <w:sz w:val="24"/>
        </w:rPr>
        <w:t>。金融机构人民币各项贷款余额</w:t>
      </w:r>
      <w:r>
        <w:rPr>
          <w:rFonts w:ascii="Times New Roman" w:hAnsi="Times New Roman" w:eastAsia="宋体" w:cs="Times New Roman"/>
          <w:color w:val="000000"/>
          <w:sz w:val="24"/>
          <w:shd w:val="clear" w:color="auto" w:fill="FFFFFF"/>
        </w:rPr>
        <w:t>976.40</w:t>
      </w:r>
      <w:r>
        <w:rPr>
          <w:rFonts w:ascii="Times New Roman" w:hAnsi="宋体" w:cs="Times New Roman"/>
          <w:kern w:val="1"/>
          <w:sz w:val="24"/>
        </w:rPr>
        <w:t>亿元，</w:t>
      </w:r>
      <w:r>
        <w:rPr>
          <w:rFonts w:hint="eastAsia" w:ascii="Times New Roman" w:hAnsi="宋体" w:cs="Times New Roman"/>
          <w:kern w:val="1"/>
          <w:sz w:val="24"/>
        </w:rPr>
        <w:t>比年初</w:t>
      </w:r>
      <w:r>
        <w:rPr>
          <w:rFonts w:ascii="Times New Roman" w:hAnsi="宋体" w:cs="Times New Roman"/>
          <w:kern w:val="1"/>
          <w:sz w:val="24"/>
        </w:rPr>
        <w:t>增加</w:t>
      </w:r>
      <w:r>
        <w:rPr>
          <w:rFonts w:ascii="Times New Roman" w:hAnsi="Times New Roman" w:eastAsia="宋体" w:cs="Times New Roman"/>
          <w:color w:val="000000"/>
          <w:sz w:val="24"/>
          <w:shd w:val="clear" w:color="auto" w:fill="FFFFFF"/>
        </w:rPr>
        <w:t>58.43</w:t>
      </w:r>
      <w:r>
        <w:rPr>
          <w:rFonts w:ascii="Times New Roman" w:hAnsi="宋体" w:cs="Times New Roman"/>
          <w:kern w:val="1"/>
          <w:sz w:val="24"/>
        </w:rPr>
        <w:t>亿元，增长</w:t>
      </w:r>
      <w:r>
        <w:rPr>
          <w:rFonts w:ascii="Times New Roman" w:hAnsi="Times New Roman" w:cs="Times New Roman"/>
          <w:kern w:val="1"/>
          <w:sz w:val="24"/>
        </w:rPr>
        <w:t xml:space="preserve">6.4% </w:t>
      </w:r>
      <w:r>
        <w:rPr>
          <w:rFonts w:ascii="Times New Roman" w:hAnsi="宋体" w:cs="Times New Roman"/>
          <w:kern w:val="1"/>
          <w:sz w:val="24"/>
        </w:rPr>
        <w:t>。</w:t>
      </w:r>
    </w:p>
    <w:p>
      <w:pPr>
        <w:widowControl/>
        <w:spacing w:line="600" w:lineRule="exact"/>
        <w:jc w:val="center"/>
        <w:rPr>
          <w:rFonts w:ascii="Times New Roman" w:hAnsi="Times New Roman" w:cs="Times New Roman"/>
          <w:b/>
          <w:color w:val="333333"/>
          <w:sz w:val="24"/>
        </w:rPr>
      </w:pPr>
      <w:r>
        <w:rPr>
          <w:rFonts w:ascii="Times New Roman" w:hAnsi="宋体" w:cs="Times New Roman"/>
          <w:b/>
          <w:color w:val="333333"/>
          <w:sz w:val="24"/>
        </w:rPr>
        <w:t>八、教育和科学技术</w:t>
      </w:r>
    </w:p>
    <w:p>
      <w:pPr>
        <w:spacing w:line="600" w:lineRule="exact"/>
        <w:ind w:firstLine="480" w:firstLineChars="200"/>
        <w:rPr>
          <w:rFonts w:ascii="Times New Roman" w:hAnsi="宋体" w:cs="Times New Roman"/>
          <w:kern w:val="1"/>
          <w:sz w:val="24"/>
          <w:u w:val="single"/>
        </w:rPr>
      </w:pPr>
      <w:r>
        <w:rPr>
          <w:rFonts w:hint="eastAsia" w:ascii="Times New Roman" w:hAnsi="宋体" w:cs="Times New Roman"/>
          <w:kern w:val="1"/>
          <w:sz w:val="24"/>
          <w:u w:val="single"/>
        </w:rPr>
        <w:t>全年</w:t>
      </w:r>
      <w:r>
        <w:rPr>
          <w:rFonts w:ascii="Times New Roman" w:hAnsi="宋体" w:cs="Times New Roman"/>
          <w:kern w:val="1"/>
          <w:sz w:val="24"/>
          <w:u w:val="single"/>
        </w:rPr>
        <w:t>全市各级各类学校6956所，毕业生65.8万人，在校生222.3万人，招生62.3万人，教职工12.8万人。其中，高等教育学校3所，招生1.6万人，在校学生4.8万人，毕业生1.5万人，教职工3096人。普通高中学校58所，招生8.5万人，在校生24.2万人，毕业生7.4万人，教职工1.5万人；普通初中学校527所，招生15.1万人，在校生45.9万人，毕业生15.5万人，教职工3.3万人；普通小学学校3081所，招生16.2万人，在校生92万人，毕业生15万人，教职工5.4万人。</w:t>
      </w:r>
    </w:p>
    <w:p>
      <w:pPr>
        <w:spacing w:line="600" w:lineRule="exact"/>
        <w:ind w:firstLine="480" w:firstLineChars="200"/>
        <w:rPr>
          <w:rFonts w:ascii="Times New Roman" w:hAnsi="宋体" w:cs="Times New Roman"/>
          <w:kern w:val="1"/>
          <w:sz w:val="24"/>
        </w:rPr>
      </w:pPr>
      <w:r>
        <w:rPr>
          <w:rFonts w:hint="eastAsia" w:ascii="Times New Roman" w:hAnsi="宋体" w:cs="Times New Roman"/>
          <w:kern w:val="1"/>
          <w:sz w:val="24"/>
        </w:rPr>
        <w:t>全年</w:t>
      </w:r>
      <w:r>
        <w:rPr>
          <w:rFonts w:ascii="Times New Roman" w:hAnsi="宋体" w:cs="Times New Roman"/>
          <w:kern w:val="1"/>
          <w:sz w:val="24"/>
        </w:rPr>
        <w:t xml:space="preserve">全市共取得省级科技进步奖二等奖1项，三等奖2项，市级一等奖15项，二等奖65项。全年申请专利1667 件，授权专利843件。其中发明专利申请311件，同比增长29%，发明专利授权88件，同比增长100%。 </w:t>
      </w:r>
    </w:p>
    <w:p>
      <w:pPr>
        <w:widowControl/>
        <w:spacing w:line="600" w:lineRule="exact"/>
        <w:jc w:val="center"/>
        <w:rPr>
          <w:rFonts w:ascii="Times New Roman" w:hAnsi="Times New Roman" w:cs="Times New Roman"/>
          <w:b/>
          <w:color w:val="333333"/>
          <w:sz w:val="24"/>
        </w:rPr>
      </w:pPr>
      <w:r>
        <w:rPr>
          <w:rFonts w:ascii="Times New Roman" w:hAnsi="宋体" w:cs="Times New Roman"/>
          <w:b/>
          <w:bCs/>
          <w:color w:val="333333"/>
          <w:sz w:val="24"/>
        </w:rPr>
        <w:t>九、文化、卫生和体育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480" w:firstLineChars="200"/>
        <w:jc w:val="both"/>
        <w:textAlignment w:val="auto"/>
        <w:outlineLvl w:val="9"/>
        <w:rPr>
          <w:rFonts w:hint="eastAsia" w:ascii="Times New Roman" w:hAnsi="宋体" w:cs="Times New Roman"/>
          <w:kern w:val="1"/>
          <w:sz w:val="24"/>
        </w:rPr>
      </w:pPr>
      <w:r>
        <w:rPr>
          <w:rFonts w:hint="eastAsia" w:ascii="Times New Roman" w:hAnsi="宋体" w:cs="Times New Roman"/>
          <w:kern w:val="1"/>
          <w:sz w:val="24"/>
          <w:lang w:val="en-US" w:eastAsia="zh-CN"/>
        </w:rPr>
        <w:t>年末全市共有艺术表演团体10个，文化馆10个，博物馆12个，公共图书馆10个。广播电台10座，电视台10座，调频转播台15座，功率3.4千瓦，广播综合人口覆盖率98.55%。电视台10座，功率43.75千瓦，电视综合人口覆盖率99.53%。全年周末公益剧场演出50多场次，市图书馆新购图书5万册，公共文化场馆继续免费开放。</w:t>
      </w:r>
      <w:bookmarkStart w:id="0" w:name="_GoBack"/>
      <w:bookmarkEnd w:id="0"/>
    </w:p>
    <w:p>
      <w:pPr>
        <w:spacing w:line="600" w:lineRule="exact"/>
        <w:ind w:firstLine="480" w:firstLineChars="200"/>
        <w:rPr>
          <w:rFonts w:ascii="Times New Roman" w:hAnsi="宋体" w:cs="Times New Roman"/>
          <w:color w:val="FF0000"/>
          <w:kern w:val="1"/>
          <w:sz w:val="24"/>
          <w:u w:val="single"/>
        </w:rPr>
      </w:pPr>
      <w:r>
        <w:rPr>
          <w:rFonts w:hint="eastAsia" w:ascii="Times New Roman" w:hAnsi="宋体" w:cs="Times New Roman"/>
          <w:kern w:val="1"/>
          <w:sz w:val="24"/>
          <w:u w:val="single"/>
          <w:lang w:eastAsia="zh-CN"/>
        </w:rPr>
        <w:t>年末</w:t>
      </w:r>
      <w:r>
        <w:rPr>
          <w:rFonts w:ascii="Times New Roman" w:hAnsi="宋体" w:cs="Times New Roman"/>
          <w:kern w:val="1"/>
          <w:sz w:val="24"/>
          <w:u w:val="single"/>
        </w:rPr>
        <w:t>全市共有医疗卫生机构</w:t>
      </w:r>
      <w:r>
        <w:rPr>
          <w:rFonts w:hint="eastAsia" w:ascii="Times New Roman" w:hAnsi="宋体" w:cs="Times New Roman"/>
          <w:kern w:val="1"/>
          <w:sz w:val="24"/>
          <w:u w:val="single"/>
        </w:rPr>
        <w:t>7892</w:t>
      </w:r>
      <w:r>
        <w:rPr>
          <w:rFonts w:ascii="Times New Roman" w:hAnsi="宋体" w:cs="Times New Roman"/>
          <w:kern w:val="1"/>
          <w:sz w:val="24"/>
          <w:u w:val="single"/>
        </w:rPr>
        <w:t>个（含村卫生室</w:t>
      </w:r>
      <w:r>
        <w:rPr>
          <w:rFonts w:hint="eastAsia" w:ascii="Times New Roman" w:hAnsi="宋体" w:cs="Times New Roman"/>
          <w:kern w:val="1"/>
          <w:sz w:val="24"/>
          <w:u w:val="single"/>
        </w:rPr>
        <w:t>6562</w:t>
      </w:r>
      <w:r>
        <w:rPr>
          <w:rFonts w:ascii="Times New Roman" w:hAnsi="宋体" w:cs="Times New Roman"/>
          <w:kern w:val="1"/>
          <w:sz w:val="24"/>
          <w:u w:val="single"/>
        </w:rPr>
        <w:t>个）</w:t>
      </w:r>
      <w:r>
        <w:rPr>
          <w:rFonts w:hint="eastAsia" w:ascii="Times New Roman" w:hAnsi="宋体" w:cs="Times New Roman"/>
          <w:kern w:val="1"/>
          <w:sz w:val="24"/>
          <w:u w:val="single"/>
          <w:lang w:eastAsia="zh-CN"/>
        </w:rPr>
        <w:t>，</w:t>
      </w:r>
      <w:r>
        <w:rPr>
          <w:rFonts w:ascii="Times New Roman" w:hAnsi="宋体" w:cs="Times New Roman"/>
          <w:kern w:val="1"/>
          <w:sz w:val="24"/>
          <w:u w:val="single"/>
        </w:rPr>
        <w:t>其中：医院</w:t>
      </w:r>
      <w:r>
        <w:rPr>
          <w:rFonts w:hint="eastAsia" w:ascii="Times New Roman" w:hAnsi="宋体" w:cs="Times New Roman"/>
          <w:kern w:val="1"/>
          <w:sz w:val="24"/>
          <w:u w:val="single"/>
        </w:rPr>
        <w:t>138</w:t>
      </w:r>
      <w:r>
        <w:rPr>
          <w:rFonts w:ascii="Times New Roman" w:hAnsi="宋体" w:cs="Times New Roman"/>
          <w:kern w:val="1"/>
          <w:sz w:val="24"/>
          <w:u w:val="single"/>
        </w:rPr>
        <w:t>个，卫生院</w:t>
      </w:r>
      <w:r>
        <w:rPr>
          <w:rFonts w:hint="eastAsia" w:ascii="Times New Roman" w:hAnsi="宋体" w:cs="Times New Roman"/>
          <w:kern w:val="1"/>
          <w:sz w:val="24"/>
          <w:u w:val="single"/>
        </w:rPr>
        <w:t>184</w:t>
      </w:r>
      <w:r>
        <w:rPr>
          <w:rFonts w:ascii="Times New Roman" w:hAnsi="宋体" w:cs="Times New Roman"/>
          <w:kern w:val="1"/>
          <w:sz w:val="24"/>
          <w:u w:val="single"/>
        </w:rPr>
        <w:t>个，妇幼保健院（所、站）</w:t>
      </w:r>
      <w:r>
        <w:rPr>
          <w:rFonts w:hint="eastAsia" w:ascii="Times New Roman" w:hAnsi="宋体" w:cs="Times New Roman"/>
          <w:kern w:val="1"/>
          <w:sz w:val="24"/>
          <w:u w:val="single"/>
        </w:rPr>
        <w:t>11</w:t>
      </w:r>
      <w:r>
        <w:rPr>
          <w:rFonts w:ascii="Times New Roman" w:hAnsi="宋体" w:cs="Times New Roman"/>
          <w:kern w:val="1"/>
          <w:sz w:val="24"/>
          <w:u w:val="single"/>
        </w:rPr>
        <w:t xml:space="preserve"> 个；实有病床</w:t>
      </w:r>
      <w:r>
        <w:rPr>
          <w:rFonts w:hint="eastAsia" w:ascii="Times New Roman" w:hAnsi="宋体" w:cs="Times New Roman"/>
          <w:kern w:val="1"/>
          <w:sz w:val="24"/>
          <w:u w:val="single"/>
        </w:rPr>
        <w:t>38179</w:t>
      </w:r>
      <w:r>
        <w:rPr>
          <w:rFonts w:ascii="Times New Roman" w:hAnsi="宋体" w:cs="Times New Roman"/>
          <w:kern w:val="1"/>
          <w:sz w:val="24"/>
          <w:u w:val="single"/>
        </w:rPr>
        <w:t>张，其中：医院</w:t>
      </w:r>
      <w:r>
        <w:rPr>
          <w:rFonts w:hint="eastAsia" w:ascii="Times New Roman" w:hAnsi="宋体" w:cs="Times New Roman"/>
          <w:kern w:val="1"/>
          <w:sz w:val="24"/>
          <w:u w:val="single"/>
        </w:rPr>
        <w:t>25317</w:t>
      </w:r>
      <w:r>
        <w:rPr>
          <w:rFonts w:ascii="Times New Roman" w:hAnsi="宋体" w:cs="Times New Roman"/>
          <w:kern w:val="1"/>
          <w:sz w:val="24"/>
          <w:u w:val="single"/>
        </w:rPr>
        <w:t>张，卫生院</w:t>
      </w:r>
      <w:r>
        <w:rPr>
          <w:rFonts w:hint="eastAsia" w:ascii="Times New Roman" w:hAnsi="宋体" w:cs="Times New Roman"/>
          <w:kern w:val="1"/>
          <w:sz w:val="24"/>
          <w:u w:val="single"/>
        </w:rPr>
        <w:t>10972</w:t>
      </w:r>
      <w:r>
        <w:rPr>
          <w:rFonts w:ascii="Times New Roman" w:hAnsi="宋体" w:cs="Times New Roman"/>
          <w:kern w:val="1"/>
          <w:sz w:val="24"/>
          <w:u w:val="single"/>
        </w:rPr>
        <w:t>张；卫生技术人员</w:t>
      </w:r>
      <w:r>
        <w:rPr>
          <w:rFonts w:hint="eastAsia" w:ascii="Times New Roman" w:hAnsi="宋体" w:cs="Times New Roman"/>
          <w:kern w:val="1"/>
          <w:sz w:val="24"/>
          <w:u w:val="single"/>
        </w:rPr>
        <w:t>40029</w:t>
      </w:r>
      <w:r>
        <w:rPr>
          <w:rFonts w:ascii="Times New Roman" w:hAnsi="宋体" w:cs="Times New Roman"/>
          <w:kern w:val="1"/>
          <w:sz w:val="24"/>
          <w:u w:val="single"/>
        </w:rPr>
        <w:t>人，执业医师和执业助理医师</w:t>
      </w:r>
      <w:r>
        <w:rPr>
          <w:rFonts w:hint="eastAsia" w:ascii="Times New Roman" w:hAnsi="宋体" w:cs="Times New Roman"/>
          <w:kern w:val="1"/>
          <w:sz w:val="24"/>
          <w:u w:val="single"/>
        </w:rPr>
        <w:t>15736</w:t>
      </w:r>
      <w:r>
        <w:rPr>
          <w:rFonts w:ascii="Times New Roman" w:hAnsi="宋体" w:cs="Times New Roman"/>
          <w:kern w:val="1"/>
          <w:sz w:val="24"/>
          <w:u w:val="single"/>
        </w:rPr>
        <w:t>人，注册护士</w:t>
      </w:r>
      <w:r>
        <w:rPr>
          <w:rFonts w:hint="eastAsia" w:ascii="Times New Roman" w:hAnsi="宋体" w:cs="Times New Roman"/>
          <w:kern w:val="1"/>
          <w:sz w:val="24"/>
          <w:u w:val="single"/>
        </w:rPr>
        <w:t>13863</w:t>
      </w:r>
      <w:r>
        <w:rPr>
          <w:rFonts w:ascii="Times New Roman" w:hAnsi="宋体" w:cs="Times New Roman"/>
          <w:kern w:val="1"/>
          <w:sz w:val="24"/>
          <w:u w:val="single"/>
        </w:rPr>
        <w:t>人。疾病预防控制中心</w:t>
      </w:r>
      <w:r>
        <w:rPr>
          <w:rFonts w:hint="eastAsia" w:ascii="Times New Roman" w:hAnsi="宋体" w:cs="Times New Roman"/>
          <w:kern w:val="1"/>
          <w:sz w:val="24"/>
          <w:u w:val="single"/>
          <w:lang w:eastAsia="zh-CN"/>
        </w:rPr>
        <w:t>（</w:t>
      </w:r>
      <w:r>
        <w:rPr>
          <w:rFonts w:ascii="Times New Roman" w:hAnsi="宋体" w:cs="Times New Roman"/>
          <w:kern w:val="1"/>
          <w:sz w:val="24"/>
          <w:u w:val="single"/>
        </w:rPr>
        <w:t>防疫站</w:t>
      </w:r>
      <w:r>
        <w:rPr>
          <w:rFonts w:hint="eastAsia" w:ascii="Times New Roman" w:hAnsi="宋体" w:cs="Times New Roman"/>
          <w:kern w:val="1"/>
          <w:sz w:val="24"/>
          <w:u w:val="single"/>
          <w:lang w:eastAsia="zh-CN"/>
        </w:rPr>
        <w:t>）</w:t>
      </w:r>
      <w:r>
        <w:rPr>
          <w:rFonts w:hint="eastAsia" w:ascii="Times New Roman" w:hAnsi="宋体" w:cs="Times New Roman"/>
          <w:kern w:val="1"/>
          <w:sz w:val="24"/>
          <w:u w:val="single"/>
        </w:rPr>
        <w:t>11</w:t>
      </w:r>
      <w:r>
        <w:rPr>
          <w:rFonts w:ascii="Times New Roman" w:hAnsi="宋体" w:cs="Times New Roman"/>
          <w:kern w:val="1"/>
          <w:sz w:val="24"/>
          <w:u w:val="single"/>
        </w:rPr>
        <w:t>个，卫生技术人员</w:t>
      </w:r>
      <w:r>
        <w:rPr>
          <w:rFonts w:hint="eastAsia" w:ascii="Times New Roman" w:hAnsi="宋体" w:cs="Times New Roman"/>
          <w:kern w:val="1"/>
          <w:sz w:val="24"/>
          <w:u w:val="single"/>
        </w:rPr>
        <w:t>1267</w:t>
      </w:r>
      <w:r>
        <w:rPr>
          <w:rFonts w:ascii="Times New Roman" w:hAnsi="宋体" w:cs="Times New Roman"/>
          <w:kern w:val="1"/>
          <w:sz w:val="24"/>
          <w:u w:val="single"/>
        </w:rPr>
        <w:t>人。卫生监督检验机构</w:t>
      </w:r>
      <w:r>
        <w:rPr>
          <w:rFonts w:hint="eastAsia" w:ascii="Times New Roman" w:hAnsi="宋体" w:cs="Times New Roman"/>
          <w:kern w:val="1"/>
          <w:sz w:val="24"/>
          <w:u w:val="single"/>
        </w:rPr>
        <w:t>10</w:t>
      </w:r>
      <w:r>
        <w:rPr>
          <w:rFonts w:ascii="Times New Roman" w:hAnsi="宋体" w:cs="Times New Roman"/>
          <w:kern w:val="1"/>
          <w:sz w:val="24"/>
          <w:u w:val="single"/>
        </w:rPr>
        <w:t>个。农村乡镇卫生院</w:t>
      </w:r>
      <w:r>
        <w:rPr>
          <w:rFonts w:hint="eastAsia" w:ascii="Times New Roman" w:hAnsi="宋体" w:cs="Times New Roman"/>
          <w:kern w:val="1"/>
          <w:sz w:val="24"/>
          <w:u w:val="single"/>
        </w:rPr>
        <w:t>184</w:t>
      </w:r>
      <w:r>
        <w:rPr>
          <w:rFonts w:ascii="Times New Roman" w:hAnsi="宋体" w:cs="Times New Roman"/>
          <w:kern w:val="1"/>
          <w:sz w:val="24"/>
          <w:u w:val="single"/>
        </w:rPr>
        <w:t>个，床位</w:t>
      </w:r>
      <w:r>
        <w:rPr>
          <w:rFonts w:hint="eastAsia" w:ascii="Times New Roman" w:hAnsi="宋体" w:cs="Times New Roman"/>
          <w:kern w:val="1"/>
          <w:sz w:val="24"/>
          <w:u w:val="single"/>
        </w:rPr>
        <w:t>10972</w:t>
      </w:r>
      <w:r>
        <w:rPr>
          <w:rFonts w:ascii="Times New Roman" w:hAnsi="宋体" w:cs="Times New Roman"/>
          <w:kern w:val="1"/>
          <w:sz w:val="24"/>
          <w:u w:val="single"/>
        </w:rPr>
        <w:t>张，卫生技术人员</w:t>
      </w:r>
      <w:r>
        <w:rPr>
          <w:rFonts w:hint="eastAsia" w:ascii="Times New Roman" w:hAnsi="宋体" w:cs="Times New Roman"/>
          <w:kern w:val="1"/>
          <w:sz w:val="24"/>
          <w:u w:val="single"/>
        </w:rPr>
        <w:t>9609</w:t>
      </w:r>
      <w:r>
        <w:rPr>
          <w:rFonts w:ascii="Times New Roman" w:hAnsi="宋体" w:cs="Times New Roman"/>
          <w:kern w:val="1"/>
          <w:sz w:val="24"/>
          <w:u w:val="single"/>
        </w:rPr>
        <w:t>人</w:t>
      </w:r>
      <w:r>
        <w:rPr>
          <w:rFonts w:hint="eastAsia" w:ascii="Times New Roman" w:hAnsi="宋体" w:cs="Times New Roman"/>
          <w:kern w:val="1"/>
          <w:sz w:val="24"/>
          <w:u w:val="single"/>
          <w:lang w:eastAsia="zh-CN"/>
        </w:rPr>
        <w:t>。</w:t>
      </w:r>
      <w:r>
        <w:rPr>
          <w:rFonts w:ascii="Times New Roman" w:hAnsi="宋体" w:cs="Times New Roman"/>
          <w:kern w:val="1"/>
          <w:sz w:val="24"/>
          <w:u w:val="single"/>
        </w:rPr>
        <w:t>改造乡镇卫生</w:t>
      </w:r>
      <w:r>
        <w:rPr>
          <w:rFonts w:hint="eastAsia" w:ascii="Times New Roman" w:hAnsi="宋体" w:cs="Times New Roman"/>
          <w:kern w:val="1"/>
          <w:sz w:val="24"/>
          <w:u w:val="single"/>
          <w:lang w:eastAsia="zh-CN"/>
        </w:rPr>
        <w:t>院</w:t>
      </w:r>
      <w:r>
        <w:rPr>
          <w:rFonts w:hint="eastAsia" w:ascii="Times New Roman" w:hAnsi="宋体" w:cs="Times New Roman"/>
          <w:kern w:val="1"/>
          <w:sz w:val="24"/>
          <w:u w:val="single"/>
        </w:rPr>
        <w:t>10</w:t>
      </w:r>
      <w:r>
        <w:rPr>
          <w:rFonts w:ascii="Times New Roman" w:hAnsi="宋体" w:cs="Times New Roman"/>
          <w:kern w:val="1"/>
          <w:sz w:val="24"/>
          <w:u w:val="single"/>
        </w:rPr>
        <w:t>个。</w:t>
      </w:r>
    </w:p>
    <w:p>
      <w:pPr>
        <w:spacing w:line="600" w:lineRule="exact"/>
        <w:ind w:firstLine="480" w:firstLineChars="200"/>
        <w:rPr>
          <w:rFonts w:ascii="Times New Roman" w:hAnsi="宋体" w:cs="Times New Roman"/>
          <w:kern w:val="1"/>
          <w:sz w:val="24"/>
        </w:rPr>
      </w:pPr>
      <w:r>
        <w:rPr>
          <w:rFonts w:hint="eastAsia" w:ascii="Times New Roman" w:hAnsi="宋体" w:cs="Times New Roman"/>
          <w:kern w:val="1"/>
          <w:sz w:val="24"/>
        </w:rPr>
        <w:t>全年</w:t>
      </w:r>
      <w:r>
        <w:rPr>
          <w:rFonts w:ascii="Times New Roman" w:hAnsi="宋体" w:cs="Times New Roman"/>
          <w:kern w:val="1"/>
          <w:sz w:val="24"/>
        </w:rPr>
        <w:t xml:space="preserve">全市运动员在省级以上各项竞技体育比赛中获得金牌92枚、银牌76枚、铜牌90枚，其他名次215人次。 </w:t>
      </w:r>
    </w:p>
    <w:p>
      <w:pPr>
        <w:widowControl/>
        <w:spacing w:line="600" w:lineRule="exact"/>
        <w:jc w:val="center"/>
        <w:rPr>
          <w:rFonts w:ascii="Times New Roman" w:hAnsi="宋体" w:cs="Times New Roman"/>
          <w:b/>
          <w:bCs/>
          <w:color w:val="333333"/>
          <w:sz w:val="24"/>
        </w:rPr>
      </w:pPr>
      <w:r>
        <w:rPr>
          <w:rFonts w:ascii="Times New Roman" w:hAnsi="宋体" w:cs="Times New Roman"/>
          <w:b/>
          <w:bCs/>
          <w:color w:val="333333"/>
          <w:sz w:val="24"/>
        </w:rPr>
        <w:t>十、人民生活和社会保障</w:t>
      </w:r>
    </w:p>
    <w:p>
      <w:pPr>
        <w:spacing w:line="600" w:lineRule="exact"/>
        <w:ind w:firstLine="480" w:firstLineChars="200"/>
        <w:rPr>
          <w:rFonts w:ascii="Times New Roman" w:hAnsi="宋体" w:cs="Times New Roman"/>
          <w:kern w:val="1"/>
          <w:sz w:val="24"/>
        </w:rPr>
      </w:pPr>
      <w:r>
        <w:rPr>
          <w:rFonts w:hint="eastAsia" w:ascii="Times New Roman" w:hAnsi="宋体" w:cs="Times New Roman"/>
          <w:kern w:val="1"/>
          <w:sz w:val="24"/>
        </w:rPr>
        <w:t>全年</w:t>
      </w:r>
      <w:r>
        <w:rPr>
          <w:rFonts w:ascii="Times New Roman" w:hAnsi="宋体" w:cs="Times New Roman"/>
          <w:kern w:val="1"/>
          <w:sz w:val="24"/>
        </w:rPr>
        <w:t>全市居民人均可支配收入13822元，同比增长8.1%。按常住地分，城镇居民人均可支配收入22471元，同比增长6.9%；农村居民人均可支配收入9279元，同比增长8.2%。</w:t>
      </w:r>
    </w:p>
    <w:p>
      <w:pPr>
        <w:spacing w:line="600" w:lineRule="exact"/>
        <w:ind w:firstLine="480" w:firstLineChars="200"/>
        <w:rPr>
          <w:rFonts w:ascii="Times New Roman" w:hAnsi="宋体" w:cs="Times New Roman"/>
          <w:kern w:val="1"/>
          <w:sz w:val="24"/>
          <w:u w:val="single"/>
        </w:rPr>
      </w:pPr>
      <w:r>
        <w:rPr>
          <w:rFonts w:hint="eastAsia" w:ascii="Times New Roman" w:hAnsi="宋体" w:cs="Times New Roman"/>
          <w:kern w:val="1"/>
          <w:sz w:val="24"/>
          <w:u w:val="single"/>
        </w:rPr>
        <w:t>年末</w:t>
      </w:r>
      <w:r>
        <w:rPr>
          <w:rFonts w:ascii="Times New Roman" w:hAnsi="宋体" w:cs="Times New Roman"/>
          <w:kern w:val="1"/>
          <w:sz w:val="24"/>
          <w:u w:val="single"/>
        </w:rPr>
        <w:t>全市</w:t>
      </w:r>
      <w:r>
        <w:rPr>
          <w:rFonts w:hint="eastAsia" w:ascii="Times New Roman" w:hAnsi="宋体" w:cs="Times New Roman"/>
          <w:kern w:val="1"/>
          <w:sz w:val="24"/>
          <w:u w:val="single"/>
        </w:rPr>
        <w:t>参加</w:t>
      </w:r>
      <w:r>
        <w:rPr>
          <w:rFonts w:ascii="Times New Roman" w:hAnsi="宋体" w:cs="Times New Roman"/>
          <w:kern w:val="1"/>
          <w:sz w:val="24"/>
          <w:u w:val="single"/>
        </w:rPr>
        <w:t>城镇职工基本养老保险人数76.37万人，其中参保职工51.90万人，参保离退休人员24.47万人。参加城乡居民基本养老保险人数508.1万人。参加城镇职工医疗保险人数54.11万人，其中参保职工39.34万人，参保离退休人员14.77万人。参加城镇居民基本医疗保险人数78.86万人。参加失业保险人数34.58万人。参加工伤保险人数44.75万人。参加生育保险人数35.69万人。新型农村合作医疗参合农民</w:t>
      </w:r>
      <w:r>
        <w:rPr>
          <w:rFonts w:hint="eastAsia" w:ascii="Times New Roman" w:hAnsi="宋体" w:cs="Times New Roman"/>
          <w:kern w:val="1"/>
          <w:sz w:val="24"/>
          <w:u w:val="single"/>
        </w:rPr>
        <w:t>880.16</w:t>
      </w:r>
      <w:r>
        <w:rPr>
          <w:rFonts w:ascii="Times New Roman" w:hAnsi="宋体" w:cs="Times New Roman"/>
          <w:kern w:val="1"/>
          <w:sz w:val="24"/>
          <w:u w:val="single"/>
        </w:rPr>
        <w:t xml:space="preserve"> 万人。</w:t>
      </w:r>
    </w:p>
    <w:p>
      <w:pPr>
        <w:widowControl/>
        <w:spacing w:line="600" w:lineRule="exact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宋体" w:cs="Times New Roman"/>
          <w:b/>
          <w:bCs/>
          <w:color w:val="333333"/>
          <w:sz w:val="24"/>
        </w:rPr>
        <w:t>十一、</w:t>
      </w:r>
      <w:r>
        <w:rPr>
          <w:rFonts w:ascii="Times New Roman" w:hAnsi="Times New Roman" w:cs="Times New Roman"/>
          <w:b/>
          <w:bCs/>
          <w:color w:val="333333"/>
          <w:sz w:val="24"/>
        </w:rPr>
        <w:t xml:space="preserve"> </w:t>
      </w:r>
      <w:r>
        <w:rPr>
          <w:rFonts w:ascii="Times New Roman" w:hAnsi="宋体" w:cs="Times New Roman"/>
          <w:b/>
          <w:bCs/>
          <w:color w:val="333333"/>
          <w:sz w:val="24"/>
        </w:rPr>
        <w:t>环境保护</w:t>
      </w:r>
      <w:r>
        <w:rPr>
          <w:rFonts w:ascii="Times New Roman" w:hAnsi="Times New Roman" w:cs="Times New Roman"/>
          <w:b/>
          <w:bCs/>
          <w:color w:val="333333"/>
          <w:sz w:val="24"/>
        </w:rPr>
        <w:t xml:space="preserve"> </w:t>
      </w:r>
      <w:r>
        <w:rPr>
          <w:rFonts w:ascii="Times New Roman" w:hAnsi="宋体" w:cs="Times New Roman"/>
          <w:b/>
          <w:bCs/>
          <w:color w:val="333333"/>
          <w:sz w:val="24"/>
        </w:rPr>
        <w:t>、安全生产</w:t>
      </w:r>
    </w:p>
    <w:p>
      <w:pPr>
        <w:spacing w:line="600" w:lineRule="exact"/>
        <w:ind w:firstLine="480" w:firstLineChars="200"/>
        <w:rPr>
          <w:rFonts w:ascii="Times New Roman" w:hAnsi="宋体" w:cs="Times New Roman"/>
          <w:kern w:val="1"/>
          <w:sz w:val="24"/>
        </w:rPr>
      </w:pPr>
      <w:r>
        <w:rPr>
          <w:rFonts w:hint="eastAsia" w:ascii="Times New Roman" w:hAnsi="宋体" w:cs="Times New Roman"/>
          <w:kern w:val="1"/>
          <w:sz w:val="24"/>
        </w:rPr>
        <w:t>全</w:t>
      </w:r>
      <w:r>
        <w:rPr>
          <w:rFonts w:ascii="Times New Roman" w:hAnsi="宋体" w:cs="Times New Roman"/>
          <w:kern w:val="1"/>
          <w:sz w:val="24"/>
        </w:rPr>
        <w:t>年全市河流断面COD累计达标率为100%，较上年提高2个百分点，氨氮达标率97.9%，较上年提高6.2个百分点；城市集中饮用水源地水质达标率100%。城市大气环境质量达标天数221天。全年共监测大气质量366天，其中：一级（优）天数30天，占监测天数的8.2%；二级（良）天数191天，占监测天数的52.2%。一级（优）和二级（良）优良天数共221天，优良率60.4%（以上大气数据均以API指数评价）。</w:t>
      </w:r>
    </w:p>
    <w:p>
      <w:pPr>
        <w:spacing w:line="600" w:lineRule="exact"/>
        <w:ind w:firstLine="480" w:firstLineChars="200"/>
        <w:rPr>
          <w:rFonts w:ascii="Times New Roman" w:hAnsi="宋体" w:cs="Times New Roman"/>
          <w:kern w:val="1"/>
          <w:sz w:val="24"/>
        </w:rPr>
      </w:pPr>
      <w:r>
        <w:rPr>
          <w:rFonts w:ascii="Times New Roman" w:hAnsi="宋体" w:cs="Times New Roman"/>
          <w:kern w:val="1"/>
          <w:sz w:val="24"/>
        </w:rPr>
        <w:t>安全生产和食品安全形势稳中向好，社会大局保持和谐稳定。</w:t>
      </w:r>
    </w:p>
    <w:p>
      <w:pPr>
        <w:spacing w:line="600" w:lineRule="exact"/>
        <w:ind w:firstLine="480" w:firstLineChars="200"/>
        <w:rPr>
          <w:rFonts w:ascii="Times New Roman" w:hAnsi="宋体" w:cs="Times New Roman"/>
          <w:kern w:val="1"/>
          <w:sz w:val="24"/>
        </w:rPr>
      </w:pPr>
      <w:r>
        <w:rPr>
          <w:rFonts w:ascii="Times New Roman" w:hAnsi="宋体" w:cs="Times New Roman"/>
          <w:kern w:val="1"/>
          <w:sz w:val="24"/>
        </w:rPr>
        <w:t xml:space="preserve">    </w:t>
      </w:r>
    </w:p>
    <w:p>
      <w:pPr>
        <w:widowControl/>
        <w:spacing w:line="360" w:lineRule="auto"/>
        <w:jc w:val="left"/>
        <w:rPr>
          <w:rFonts w:ascii="Times New Roman" w:hAnsi="Times New Roman" w:cs="Times New Roman"/>
          <w:color w:val="333333"/>
          <w:sz w:val="24"/>
        </w:rPr>
      </w:pPr>
      <w:r>
        <w:rPr>
          <w:rFonts w:ascii="Times New Roman" w:hAnsi="宋体" w:cs="Times New Roman"/>
          <w:color w:val="333333"/>
          <w:sz w:val="24"/>
        </w:rPr>
        <w:t>注：</w:t>
      </w:r>
    </w:p>
    <w:p>
      <w:pPr>
        <w:spacing w:line="600" w:lineRule="exact"/>
        <w:ind w:firstLine="480" w:firstLineChars="200"/>
        <w:rPr>
          <w:rFonts w:ascii="Times New Roman" w:hAnsi="宋体" w:cs="Times New Roman"/>
          <w:kern w:val="1"/>
          <w:sz w:val="24"/>
        </w:rPr>
      </w:pPr>
      <w:r>
        <w:rPr>
          <w:rFonts w:ascii="Times New Roman" w:hAnsi="宋体" w:cs="Times New Roman"/>
          <w:kern w:val="1"/>
          <w:sz w:val="24"/>
        </w:rPr>
        <w:t>1、地区生产总值、各产业增加值绝对数按现行价格计算，增长速度按可比价格计算。</w:t>
      </w:r>
    </w:p>
    <w:p>
      <w:pPr>
        <w:spacing w:line="600" w:lineRule="exact"/>
        <w:ind w:firstLine="480" w:firstLineChars="200"/>
        <w:rPr>
          <w:rFonts w:hint="eastAsia" w:ascii="Times New Roman" w:hAnsi="宋体" w:cs="Times New Roman"/>
          <w:color w:val="000000" w:themeColor="text1"/>
          <w:kern w:val="1"/>
          <w:sz w:val="24"/>
        </w:rPr>
      </w:pPr>
      <w:r>
        <w:rPr>
          <w:rFonts w:ascii="Times New Roman" w:hAnsi="宋体" w:cs="Times New Roman"/>
          <w:color w:val="000000" w:themeColor="text1"/>
          <w:kern w:val="1"/>
          <w:sz w:val="24"/>
        </w:rPr>
        <w:t>2、</w:t>
      </w:r>
      <w:r>
        <w:rPr>
          <w:rFonts w:hint="eastAsia" w:ascii="Times New Roman" w:hAnsi="宋体" w:cs="Times New Roman"/>
          <w:color w:val="000000" w:themeColor="text1"/>
          <w:kern w:val="1"/>
          <w:sz w:val="24"/>
        </w:rPr>
        <w:t>规模以上工业企业：年主营业务收入达到2000万元及以上的工业法人单位；</w:t>
      </w:r>
    </w:p>
    <w:p>
      <w:pPr>
        <w:spacing w:line="600" w:lineRule="exact"/>
        <w:ind w:firstLine="480" w:firstLineChars="200"/>
        <w:rPr>
          <w:rFonts w:hint="eastAsia" w:ascii="Times New Roman" w:hAnsi="宋体" w:cs="Times New Roman"/>
          <w:color w:val="000000" w:themeColor="text1"/>
          <w:kern w:val="1"/>
          <w:sz w:val="24"/>
        </w:rPr>
      </w:pPr>
      <w:r>
        <w:rPr>
          <w:rFonts w:hint="eastAsia" w:ascii="Times New Roman" w:hAnsi="宋体" w:cs="Times New Roman"/>
          <w:color w:val="000000" w:themeColor="text1"/>
          <w:kern w:val="1"/>
          <w:sz w:val="24"/>
        </w:rPr>
        <w:t>有资质等级的建筑业和所有房地产开发经营企业：有总承包、专业承包、劳务分包资质的建筑业法人单位和全部房地产开发经营业法人单位； </w:t>
      </w:r>
    </w:p>
    <w:p>
      <w:pPr>
        <w:spacing w:line="600" w:lineRule="exact"/>
        <w:ind w:firstLine="480" w:firstLineChars="200"/>
        <w:rPr>
          <w:rFonts w:hint="eastAsia" w:ascii="Times New Roman" w:hAnsi="宋体" w:cs="Times New Roman"/>
          <w:color w:val="000000" w:themeColor="text1"/>
          <w:kern w:val="1"/>
          <w:sz w:val="24"/>
        </w:rPr>
      </w:pPr>
      <w:r>
        <w:rPr>
          <w:rFonts w:hint="eastAsia" w:ascii="Times New Roman" w:hAnsi="宋体" w:cs="Times New Roman"/>
          <w:color w:val="000000" w:themeColor="text1"/>
          <w:kern w:val="1"/>
          <w:sz w:val="24"/>
        </w:rPr>
        <w:t>限额以上批零住餐企业：年主营业务收入达到2000万元及以上的批发业法人单位，年主营业务收入达到500万元及以上的零售业法人单位，年主营业务收入达到200万元及以上的住宿和餐饮业法人单位； </w:t>
      </w:r>
    </w:p>
    <w:p>
      <w:pPr>
        <w:spacing w:line="600" w:lineRule="exact"/>
        <w:ind w:firstLine="480" w:firstLineChars="200"/>
        <w:rPr>
          <w:rFonts w:ascii="Times New Roman" w:hAnsi="宋体" w:cs="Times New Roman"/>
          <w:color w:val="000000" w:themeColor="text1"/>
          <w:kern w:val="1"/>
          <w:sz w:val="24"/>
        </w:rPr>
      </w:pPr>
      <w:r>
        <w:rPr>
          <w:rFonts w:hint="eastAsia" w:ascii="Times New Roman" w:hAnsi="宋体" w:cs="Times New Roman"/>
          <w:color w:val="000000" w:themeColor="text1"/>
          <w:kern w:val="1"/>
          <w:sz w:val="24"/>
        </w:rPr>
        <w:t>规模以上服务业企业：年末从业人员50人及以上，或年营业收入1000万元及以上的服务业法人单位。包括：交通运输、仓储和邮政业，信息传输、软件和信息技术服务业，租赁和商务服务业，科学研究和技术服务业，水利、环境和公共设施管理业，教育、卫生和社会工作，物业管理、房地产中介服务、自有房地产经营活动和其他房地产业等行业；年末从业人员50人及以上，或年营业收入500万元及以上的服务业法人单位，包括居民服务、修理和其他服务业，文化、体育和娱乐业。</w:t>
      </w:r>
    </w:p>
    <w:p>
      <w:pPr>
        <w:spacing w:line="600" w:lineRule="exact"/>
        <w:ind w:firstLine="480" w:firstLineChars="200"/>
        <w:rPr>
          <w:rFonts w:ascii="Times New Roman" w:hAnsi="宋体" w:cs="Times New Roman"/>
          <w:kern w:val="1"/>
          <w:sz w:val="24"/>
        </w:rPr>
      </w:pPr>
      <w:r>
        <w:rPr>
          <w:rFonts w:hint="eastAsia" w:ascii="Times New Roman" w:hAnsi="宋体" w:cs="Times New Roman"/>
          <w:kern w:val="1"/>
          <w:sz w:val="24"/>
          <w:lang w:val="en-US" w:eastAsia="zh-CN"/>
        </w:rPr>
        <w:t>3</w:t>
      </w:r>
      <w:r>
        <w:rPr>
          <w:rFonts w:ascii="Times New Roman" w:hAnsi="宋体" w:cs="Times New Roman"/>
          <w:kern w:val="1"/>
          <w:sz w:val="24"/>
        </w:rPr>
        <w:t>、资料来源：本公报中城镇新增就业、失业人员再就业、就业困难人员就业、新增农村劳动力转移就业、农村劳动力转移就业、参加城镇养老、医疗、失业保险数据来自市人力资源和社会保障局；财政数据来自市财政局；农业机械总动力、农用拖拉机数据来自市农业机械管理局；进出口数据来自市商务局；铁路数据来自周口铁路局，公路数据、水运数据来自市交通局； 邮政业务数据来自市邮政管理局；电信业务数据、局用电话交换机总容量、本地固定电话用户、移动电话用户、电话普及率、互联网用户数据来自市通信管理局；金融数据来自人行周口支行；教育数据来自市教育局；省级科技进步奖、签订技术合同数据来自市科技局；申请专利、授权专利数据来自市知识产权局；旅游数据、艺术表演团体、文化馆、公共图书馆、广播电视人口覆盖率、图书、期刊、报纸出版数据来自市文广旅局；医疗卫生数据来自市卫生局；体育数据来自市体育局；城乡低保、城乡医疗救助、收养性社会福利院、城镇建立各种社区服务设施数据来自市民政局；环保状况、水质状况、空气状况来自市环保局(大气质量优良天数为新标准[AQI])；各类生产经营性伤亡事故数据来自市安监局；各种价格指数、粮食种植面积、棉花种植面积、粮食产量、棉花产量、畜产品产量、城乡收入数据及其他数据来自市统计局。</w:t>
      </w:r>
    </w:p>
    <w:p>
      <w:pPr>
        <w:spacing w:line="600" w:lineRule="exact"/>
        <w:ind w:firstLine="480" w:firstLineChars="200"/>
        <w:rPr>
          <w:rFonts w:ascii="Times New Roman" w:hAnsi="宋体" w:cs="Times New Roman"/>
          <w:kern w:val="1"/>
          <w:sz w:val="24"/>
        </w:rPr>
      </w:pPr>
      <w:r>
        <w:rPr>
          <w:rFonts w:hint="eastAsia" w:ascii="Times New Roman" w:hAnsi="宋体" w:cs="Times New Roman"/>
          <w:kern w:val="1"/>
          <w:sz w:val="24"/>
          <w:lang w:val="en-US" w:eastAsia="zh-CN"/>
        </w:rPr>
        <w:t>4</w:t>
      </w:r>
      <w:r>
        <w:rPr>
          <w:rFonts w:ascii="Times New Roman" w:hAnsi="宋体" w:cs="Times New Roman"/>
          <w:kern w:val="1"/>
          <w:sz w:val="24"/>
        </w:rPr>
        <w:t>、除资料来源为统计局</w:t>
      </w:r>
      <w:r>
        <w:rPr>
          <w:rFonts w:hint="eastAsia" w:ascii="Times New Roman" w:hAnsi="宋体" w:cs="Times New Roman"/>
          <w:kern w:val="1"/>
          <w:sz w:val="24"/>
        </w:rPr>
        <w:t>、教育局、卫计委</w:t>
      </w:r>
      <w:r>
        <w:rPr>
          <w:rFonts w:ascii="Times New Roman" w:hAnsi="宋体" w:cs="Times New Roman"/>
          <w:kern w:val="1"/>
          <w:sz w:val="24"/>
        </w:rPr>
        <w:t>外，其他部门数据</w:t>
      </w:r>
      <w:r>
        <w:rPr>
          <w:rFonts w:hint="eastAsia" w:ascii="Times New Roman" w:hAnsi="宋体" w:cs="Times New Roman"/>
          <w:kern w:val="1"/>
          <w:sz w:val="24"/>
          <w:lang w:eastAsia="zh-CN"/>
        </w:rPr>
        <w:t>均</w:t>
      </w:r>
      <w:r>
        <w:rPr>
          <w:rFonts w:ascii="Times New Roman" w:hAnsi="宋体" w:cs="Times New Roman"/>
          <w:kern w:val="1"/>
          <w:sz w:val="24"/>
        </w:rPr>
        <w:t>不包括鹿邑县。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Calibri Light">
    <w:altName w:val="Calibri"/>
    <w:panose1 w:val="00000000000000000000"/>
    <w:charset w:val="00"/>
    <w:family w:val="swiss"/>
    <w:pitch w:val="default"/>
    <w:sig w:usb0="00000000" w:usb1="00000000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Glyphicons Halflings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enlo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w:pict>
        <v:shape id="_x0000_s4097" o:spid="_x0000_s4097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>
                <w:pPr>
                  <w:snapToGrid w:val="0"/>
                  <w:rPr>
                    <w:rFonts w:hint="eastAsia" w:eastAsiaTheme="minorEastAsia"/>
                    <w:sz w:val="18"/>
                    <w:lang w:eastAsia="zh-CN"/>
                  </w:rPr>
                </w:pPr>
                <w:r>
                  <w:rPr>
                    <w:rFonts w:hint="eastAsia"/>
                    <w:sz w:val="18"/>
                    <w:lang w:eastAsia="zh-CN"/>
                  </w:rPr>
                  <w:fldChar w:fldCharType="begin"/>
                </w:r>
                <w:r>
                  <w:rPr>
                    <w:rFonts w:hint="eastAsia"/>
                    <w:sz w:val="18"/>
                    <w:lang w:eastAsia="zh-CN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  <w:lang w:eastAsia="zh-CN"/>
                  </w:rPr>
                  <w:fldChar w:fldCharType="separate"/>
                </w:r>
                <w:r>
                  <w:rPr>
                    <w:sz w:val="18"/>
                  </w:rPr>
                  <w:t>1</w:t>
                </w:r>
                <w:r>
                  <w:rPr>
                    <w:rFonts w:hint="eastAsia"/>
                    <w:sz w:val="18"/>
                    <w:lang w:eastAsia="zh-CN"/>
                  </w:rPr>
                  <w:fldChar w:fldCharType="end"/>
                </w: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412970FC"/>
    <w:rsid w:val="00037D85"/>
    <w:rsid w:val="000B18D4"/>
    <w:rsid w:val="000B3E5D"/>
    <w:rsid w:val="00123FAD"/>
    <w:rsid w:val="00142D56"/>
    <w:rsid w:val="001B2BAB"/>
    <w:rsid w:val="00285D8E"/>
    <w:rsid w:val="002B2EE9"/>
    <w:rsid w:val="002F7415"/>
    <w:rsid w:val="00382EE1"/>
    <w:rsid w:val="003832AC"/>
    <w:rsid w:val="003E1D87"/>
    <w:rsid w:val="003E68F4"/>
    <w:rsid w:val="004603F3"/>
    <w:rsid w:val="00476609"/>
    <w:rsid w:val="004D6E50"/>
    <w:rsid w:val="00526F27"/>
    <w:rsid w:val="005D056D"/>
    <w:rsid w:val="0068072A"/>
    <w:rsid w:val="006A4455"/>
    <w:rsid w:val="006C489D"/>
    <w:rsid w:val="006D68F8"/>
    <w:rsid w:val="0071499F"/>
    <w:rsid w:val="007A4575"/>
    <w:rsid w:val="007E1160"/>
    <w:rsid w:val="008362B6"/>
    <w:rsid w:val="008724F3"/>
    <w:rsid w:val="009014A6"/>
    <w:rsid w:val="0093518A"/>
    <w:rsid w:val="009B4EBF"/>
    <w:rsid w:val="009C3988"/>
    <w:rsid w:val="00A11680"/>
    <w:rsid w:val="00A30AE5"/>
    <w:rsid w:val="00A747B7"/>
    <w:rsid w:val="00B70338"/>
    <w:rsid w:val="00BA7155"/>
    <w:rsid w:val="00BC76D6"/>
    <w:rsid w:val="00BE5E97"/>
    <w:rsid w:val="00C465E6"/>
    <w:rsid w:val="00C655AE"/>
    <w:rsid w:val="00CE4589"/>
    <w:rsid w:val="00D04C9D"/>
    <w:rsid w:val="00DE6ED6"/>
    <w:rsid w:val="00DF2812"/>
    <w:rsid w:val="00E02BEF"/>
    <w:rsid w:val="00E12C80"/>
    <w:rsid w:val="00E52EA1"/>
    <w:rsid w:val="00EA4B1D"/>
    <w:rsid w:val="00EB4CB0"/>
    <w:rsid w:val="00F70C9F"/>
    <w:rsid w:val="00FD10CA"/>
    <w:rsid w:val="01997221"/>
    <w:rsid w:val="02A5546F"/>
    <w:rsid w:val="04522C5D"/>
    <w:rsid w:val="07107246"/>
    <w:rsid w:val="08A64A85"/>
    <w:rsid w:val="0A2C67A4"/>
    <w:rsid w:val="0AE604FE"/>
    <w:rsid w:val="0EB503A3"/>
    <w:rsid w:val="107670FC"/>
    <w:rsid w:val="114F75B8"/>
    <w:rsid w:val="12AD5708"/>
    <w:rsid w:val="14001DD0"/>
    <w:rsid w:val="159E68D6"/>
    <w:rsid w:val="176B520E"/>
    <w:rsid w:val="19D60C71"/>
    <w:rsid w:val="1B5C3831"/>
    <w:rsid w:val="1B626219"/>
    <w:rsid w:val="1B9F7AC7"/>
    <w:rsid w:val="20712E31"/>
    <w:rsid w:val="20BF7BCF"/>
    <w:rsid w:val="21586BF3"/>
    <w:rsid w:val="21A12D05"/>
    <w:rsid w:val="229F5811"/>
    <w:rsid w:val="22FC7B88"/>
    <w:rsid w:val="26ED7D77"/>
    <w:rsid w:val="2B2E3624"/>
    <w:rsid w:val="2C266E4B"/>
    <w:rsid w:val="2DC342B6"/>
    <w:rsid w:val="2EF40E42"/>
    <w:rsid w:val="2F9B4B46"/>
    <w:rsid w:val="3243047E"/>
    <w:rsid w:val="326928F4"/>
    <w:rsid w:val="33002422"/>
    <w:rsid w:val="3457137C"/>
    <w:rsid w:val="34936428"/>
    <w:rsid w:val="37A8145F"/>
    <w:rsid w:val="39572883"/>
    <w:rsid w:val="3AD72741"/>
    <w:rsid w:val="3B0A0B45"/>
    <w:rsid w:val="3F137B5C"/>
    <w:rsid w:val="402E4FD7"/>
    <w:rsid w:val="40AC4B68"/>
    <w:rsid w:val="40D30ECE"/>
    <w:rsid w:val="412970FC"/>
    <w:rsid w:val="42C2426D"/>
    <w:rsid w:val="43083865"/>
    <w:rsid w:val="43DB2B2B"/>
    <w:rsid w:val="44AB4CF8"/>
    <w:rsid w:val="45720FA2"/>
    <w:rsid w:val="459A3605"/>
    <w:rsid w:val="47C11660"/>
    <w:rsid w:val="49446863"/>
    <w:rsid w:val="4B370181"/>
    <w:rsid w:val="4B6B0E4F"/>
    <w:rsid w:val="4ECC2B91"/>
    <w:rsid w:val="4FBF27F2"/>
    <w:rsid w:val="506768FD"/>
    <w:rsid w:val="528A7E74"/>
    <w:rsid w:val="52C30DD7"/>
    <w:rsid w:val="54DF72AE"/>
    <w:rsid w:val="55344B62"/>
    <w:rsid w:val="55B072AE"/>
    <w:rsid w:val="589F633F"/>
    <w:rsid w:val="58FF1070"/>
    <w:rsid w:val="59144E23"/>
    <w:rsid w:val="5CD33944"/>
    <w:rsid w:val="5CFB44DE"/>
    <w:rsid w:val="5DC760C9"/>
    <w:rsid w:val="5EB45D00"/>
    <w:rsid w:val="5EF4486C"/>
    <w:rsid w:val="5F711E21"/>
    <w:rsid w:val="5F7D49FE"/>
    <w:rsid w:val="5FC81DD0"/>
    <w:rsid w:val="603F46FB"/>
    <w:rsid w:val="62FB5695"/>
    <w:rsid w:val="64BB0CE2"/>
    <w:rsid w:val="64EC1707"/>
    <w:rsid w:val="659F5267"/>
    <w:rsid w:val="65CA4DB5"/>
    <w:rsid w:val="666C1F82"/>
    <w:rsid w:val="68CF1933"/>
    <w:rsid w:val="69284FCF"/>
    <w:rsid w:val="69A97A90"/>
    <w:rsid w:val="69F92029"/>
    <w:rsid w:val="6BFF7529"/>
    <w:rsid w:val="6EC7027F"/>
    <w:rsid w:val="70277FCC"/>
    <w:rsid w:val="7195286A"/>
    <w:rsid w:val="734F0D16"/>
    <w:rsid w:val="743106C9"/>
    <w:rsid w:val="750C23C8"/>
    <w:rsid w:val="75326713"/>
    <w:rsid w:val="768A5700"/>
    <w:rsid w:val="76EC2EAF"/>
    <w:rsid w:val="77404F00"/>
    <w:rsid w:val="7AAE5B36"/>
    <w:rsid w:val="7AE47A00"/>
    <w:rsid w:val="7AEC117C"/>
    <w:rsid w:val="7B3B19BA"/>
    <w:rsid w:val="7CAC78DA"/>
    <w:rsid w:val="7CBC081A"/>
    <w:rsid w:val="7D3405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unhideWhenUsed/>
    <w:qFormat/>
    <w:uiPriority w:val="1"/>
  </w:style>
  <w:style w:type="table" w:default="1" w:styleId="8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qFormat/>
    <w:uiPriority w:val="0"/>
    <w:rPr>
      <w:sz w:val="18"/>
      <w:szCs w:val="18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5"/>
      </w:tabs>
      <w:jc w:val="left"/>
    </w:pPr>
    <w:rPr>
      <w:kern w:val="1"/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000000" w:sz="6" w:space="1"/>
      </w:pBdr>
      <w:tabs>
        <w:tab w:val="center" w:pos="4153"/>
        <w:tab w:val="right" w:pos="8305"/>
      </w:tabs>
      <w:jc w:val="center"/>
    </w:pPr>
    <w:rPr>
      <w:kern w:val="1"/>
      <w:sz w:val="18"/>
      <w:szCs w:val="18"/>
    </w:rPr>
  </w:style>
  <w:style w:type="paragraph" w:styleId="5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7">
    <w:name w:val="Strong"/>
    <w:basedOn w:val="6"/>
    <w:qFormat/>
    <w:uiPriority w:val="0"/>
    <w:rPr>
      <w:b/>
    </w:rPr>
  </w:style>
  <w:style w:type="character" w:customStyle="1" w:styleId="9">
    <w:name w:val="批注框文本 Char"/>
    <w:basedOn w:val="6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png"/><Relationship Id="rId8" Type="http://schemas.openxmlformats.org/officeDocument/2006/relationships/image" Target="media/image4.png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MS</Company>
  <Pages>12</Pages>
  <Words>972</Words>
  <Characters>5544</Characters>
  <Lines>46</Lines>
  <Paragraphs>13</Paragraphs>
  <ScaleCrop>false</ScaleCrop>
  <LinksUpToDate>false</LinksUpToDate>
  <CharactersWithSpaces>6503</CharactersWithSpaces>
  <Application>WPS Office_10.1.0.7022_F1E327BC-269C-435d-A152-05C5408002CA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2017-02-22T01:52:00Z</dcterms:created>
  <dc:creator>Administrator</dc:creator>
  <cp:lastModifiedBy>Administrator</cp:lastModifiedBy>
  <cp:lastPrinted>2017-03-08T03:09:00Z</cp:lastPrinted>
  <dcterms:modified xsi:type="dcterms:W3CDTF">2018-03-07T01:23:38Z</dcterms:modified>
  <cp:revision>43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2052-10.1.0.7022</vt:lpwstr>
  </property>
</Properties>
</file>